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9E" w:rsidRPr="00C42D6C" w:rsidRDefault="00CE5A9E" w:rsidP="00CE5A9E">
      <w:pPr>
        <w:spacing w:line="560" w:lineRule="exact"/>
        <w:rPr>
          <w:rFonts w:ascii="黑体" w:eastAsia="黑体" w:hAnsi="黑体" w:hint="eastAsia"/>
          <w:sz w:val="32"/>
          <w:szCs w:val="32"/>
        </w:rPr>
      </w:pPr>
      <w:r w:rsidRPr="00C42D6C">
        <w:rPr>
          <w:rFonts w:ascii="黑体" w:eastAsia="黑体" w:hAnsi="黑体" w:hint="eastAsia"/>
          <w:sz w:val="32"/>
          <w:szCs w:val="32"/>
        </w:rPr>
        <w:t>附件4</w:t>
      </w:r>
    </w:p>
    <w:tbl>
      <w:tblPr>
        <w:tblW w:w="14770" w:type="dxa"/>
        <w:tblLayout w:type="fixed"/>
        <w:tblLook w:val="0000" w:firstRow="0" w:lastRow="0" w:firstColumn="0" w:lastColumn="0" w:noHBand="0" w:noVBand="0"/>
      </w:tblPr>
      <w:tblGrid>
        <w:gridCol w:w="636"/>
        <w:gridCol w:w="856"/>
        <w:gridCol w:w="2052"/>
        <w:gridCol w:w="4397"/>
        <w:gridCol w:w="4925"/>
        <w:gridCol w:w="1149"/>
        <w:gridCol w:w="755"/>
      </w:tblGrid>
      <w:tr w:rsidR="00CE5A9E" w:rsidTr="000D5A42">
        <w:trPr>
          <w:trHeight w:val="375"/>
        </w:trPr>
        <w:tc>
          <w:tcPr>
            <w:tcW w:w="636" w:type="dxa"/>
            <w:tcBorders>
              <w:top w:val="nil"/>
              <w:left w:val="nil"/>
              <w:bottom w:val="nil"/>
              <w:right w:val="nil"/>
            </w:tcBorders>
            <w:vAlign w:val="center"/>
          </w:tcPr>
          <w:p w:rsidR="00CE5A9E" w:rsidRDefault="00CE5A9E" w:rsidP="000D5A42">
            <w:pPr>
              <w:widowControl/>
              <w:spacing w:line="320" w:lineRule="exact"/>
              <w:jc w:val="left"/>
              <w:rPr>
                <w:rFonts w:ascii="宋体" w:hAnsi="宋体" w:cs="宋体"/>
                <w:color w:val="000000"/>
                <w:kern w:val="0"/>
                <w:sz w:val="22"/>
                <w:szCs w:val="22"/>
              </w:rPr>
            </w:pPr>
          </w:p>
        </w:tc>
        <w:tc>
          <w:tcPr>
            <w:tcW w:w="14134" w:type="dxa"/>
            <w:gridSpan w:val="6"/>
            <w:tcBorders>
              <w:top w:val="nil"/>
              <w:left w:val="nil"/>
              <w:bottom w:val="nil"/>
              <w:right w:val="nil"/>
            </w:tcBorders>
            <w:vAlign w:val="center"/>
          </w:tcPr>
          <w:p w:rsidR="00CE5A9E" w:rsidRPr="00C42D6C" w:rsidRDefault="00CE5A9E" w:rsidP="000D5A42">
            <w:pPr>
              <w:widowControl/>
              <w:spacing w:line="360" w:lineRule="auto"/>
              <w:jc w:val="center"/>
              <w:rPr>
                <w:rFonts w:ascii="方正小标宋简体" w:eastAsia="方正小标宋简体" w:hAnsi="黑体" w:cs="宋体" w:hint="eastAsia"/>
                <w:bCs/>
                <w:color w:val="000000"/>
                <w:kern w:val="0"/>
                <w:sz w:val="36"/>
                <w:szCs w:val="36"/>
              </w:rPr>
            </w:pPr>
            <w:bookmarkStart w:id="0" w:name="_GoBack"/>
            <w:r w:rsidRPr="00C42D6C">
              <w:rPr>
                <w:rFonts w:ascii="方正小标宋简体" w:eastAsia="方正小标宋简体" w:hAnsi="黑体" w:cs="宋体" w:hint="eastAsia"/>
                <w:bCs/>
                <w:color w:val="000000"/>
                <w:kern w:val="0"/>
                <w:sz w:val="36"/>
                <w:szCs w:val="36"/>
              </w:rPr>
              <w:t>海宁市涉企行政事业性收费目录清单</w:t>
            </w:r>
            <w:bookmarkEnd w:id="0"/>
          </w:p>
        </w:tc>
      </w:tr>
      <w:tr w:rsidR="00CE5A9E" w:rsidTr="000D5A42">
        <w:trPr>
          <w:trHeight w:val="512"/>
        </w:trPr>
        <w:tc>
          <w:tcPr>
            <w:tcW w:w="636" w:type="dxa"/>
            <w:tcBorders>
              <w:top w:val="single" w:sz="4" w:space="0" w:color="auto"/>
              <w:left w:val="single" w:sz="4" w:space="0" w:color="auto"/>
              <w:bottom w:val="single" w:sz="4" w:space="0" w:color="auto"/>
              <w:right w:val="single" w:sz="4" w:space="0" w:color="auto"/>
            </w:tcBorders>
            <w:vAlign w:val="center"/>
          </w:tcPr>
          <w:p w:rsidR="00CE5A9E" w:rsidRDefault="00CE5A9E" w:rsidP="000D5A42">
            <w:pPr>
              <w:widowControl/>
              <w:spacing w:line="2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序号</w:t>
            </w:r>
          </w:p>
        </w:tc>
        <w:tc>
          <w:tcPr>
            <w:tcW w:w="856" w:type="dxa"/>
            <w:tcBorders>
              <w:top w:val="single" w:sz="4" w:space="0" w:color="auto"/>
              <w:left w:val="nil"/>
              <w:bottom w:val="single" w:sz="4" w:space="0" w:color="auto"/>
              <w:right w:val="single" w:sz="4" w:space="0" w:color="auto"/>
            </w:tcBorders>
            <w:vAlign w:val="center"/>
          </w:tcPr>
          <w:p w:rsidR="00CE5A9E" w:rsidRDefault="00CE5A9E" w:rsidP="000D5A42">
            <w:pPr>
              <w:widowControl/>
              <w:spacing w:line="2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部门</w:t>
            </w:r>
          </w:p>
        </w:tc>
        <w:tc>
          <w:tcPr>
            <w:tcW w:w="2052" w:type="dxa"/>
            <w:tcBorders>
              <w:top w:val="single" w:sz="4" w:space="0" w:color="auto"/>
              <w:left w:val="nil"/>
              <w:bottom w:val="single" w:sz="4" w:space="0" w:color="auto"/>
              <w:right w:val="single" w:sz="4" w:space="0" w:color="auto"/>
            </w:tcBorders>
            <w:vAlign w:val="center"/>
          </w:tcPr>
          <w:p w:rsidR="00CE5A9E" w:rsidRDefault="00CE5A9E" w:rsidP="000D5A42">
            <w:pPr>
              <w:widowControl/>
              <w:spacing w:line="2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收费项目</w:t>
            </w:r>
          </w:p>
        </w:tc>
        <w:tc>
          <w:tcPr>
            <w:tcW w:w="4397" w:type="dxa"/>
            <w:tcBorders>
              <w:top w:val="single" w:sz="4" w:space="0" w:color="auto"/>
              <w:left w:val="nil"/>
              <w:bottom w:val="single" w:sz="4" w:space="0" w:color="auto"/>
              <w:right w:val="single" w:sz="4" w:space="0" w:color="auto"/>
            </w:tcBorders>
            <w:vAlign w:val="center"/>
          </w:tcPr>
          <w:p w:rsidR="00CE5A9E" w:rsidRDefault="00CE5A9E" w:rsidP="000D5A42">
            <w:pPr>
              <w:widowControl/>
              <w:spacing w:line="2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收费标准</w:t>
            </w:r>
          </w:p>
        </w:tc>
        <w:tc>
          <w:tcPr>
            <w:tcW w:w="4925" w:type="dxa"/>
            <w:tcBorders>
              <w:top w:val="single" w:sz="4" w:space="0" w:color="auto"/>
              <w:left w:val="nil"/>
              <w:bottom w:val="single" w:sz="4" w:space="0" w:color="auto"/>
              <w:right w:val="single" w:sz="4" w:space="0" w:color="auto"/>
            </w:tcBorders>
            <w:vAlign w:val="center"/>
          </w:tcPr>
          <w:p w:rsidR="00CE5A9E" w:rsidRDefault="00CE5A9E" w:rsidP="000D5A42">
            <w:pPr>
              <w:widowControl/>
              <w:spacing w:line="2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政策依据</w:t>
            </w:r>
          </w:p>
        </w:tc>
        <w:tc>
          <w:tcPr>
            <w:tcW w:w="1149" w:type="dxa"/>
            <w:tcBorders>
              <w:top w:val="single" w:sz="4" w:space="0" w:color="auto"/>
              <w:left w:val="nil"/>
              <w:bottom w:val="single" w:sz="4" w:space="0" w:color="auto"/>
              <w:right w:val="single" w:sz="4" w:space="0" w:color="auto"/>
            </w:tcBorders>
            <w:vAlign w:val="center"/>
          </w:tcPr>
          <w:p w:rsidR="00CE5A9E" w:rsidRDefault="00CE5A9E" w:rsidP="000D5A42">
            <w:pPr>
              <w:widowControl/>
              <w:spacing w:line="2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批准级次</w:t>
            </w:r>
          </w:p>
        </w:tc>
        <w:tc>
          <w:tcPr>
            <w:tcW w:w="755" w:type="dxa"/>
            <w:tcBorders>
              <w:top w:val="single" w:sz="4" w:space="0" w:color="auto"/>
              <w:left w:val="nil"/>
              <w:bottom w:val="single" w:sz="4" w:space="0" w:color="auto"/>
              <w:right w:val="single" w:sz="4" w:space="0" w:color="auto"/>
            </w:tcBorders>
            <w:vAlign w:val="center"/>
          </w:tcPr>
          <w:p w:rsidR="00CE5A9E" w:rsidRDefault="00CE5A9E" w:rsidP="000D5A42">
            <w:pPr>
              <w:widowControl/>
              <w:spacing w:line="26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备注</w:t>
            </w:r>
          </w:p>
        </w:tc>
      </w:tr>
      <w:tr w:rsidR="00CE5A9E" w:rsidTr="000D5A42">
        <w:trPr>
          <w:trHeight w:val="941"/>
        </w:trPr>
        <w:tc>
          <w:tcPr>
            <w:tcW w:w="636" w:type="dxa"/>
            <w:vMerge w:val="restart"/>
            <w:tcBorders>
              <w:top w:val="nil"/>
              <w:left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w:t>
            </w:r>
          </w:p>
        </w:tc>
        <w:tc>
          <w:tcPr>
            <w:tcW w:w="856" w:type="dxa"/>
            <w:vMerge w:val="restart"/>
            <w:tcBorders>
              <w:top w:val="nil"/>
              <w:left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自然资源和规划</w:t>
            </w:r>
          </w:p>
        </w:tc>
        <w:tc>
          <w:tcPr>
            <w:tcW w:w="2052" w:type="dxa"/>
            <w:tcBorders>
              <w:top w:val="nil"/>
              <w:left w:val="nil"/>
              <w:bottom w:val="single" w:sz="4" w:space="0" w:color="auto"/>
              <w:right w:val="single" w:sz="4" w:space="0" w:color="auto"/>
            </w:tcBorders>
            <w:vAlign w:val="center"/>
          </w:tcPr>
          <w:p w:rsidR="00CE5A9E" w:rsidRDefault="00CE5A9E"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1.耕地开垦费</w:t>
            </w:r>
          </w:p>
        </w:tc>
        <w:tc>
          <w:tcPr>
            <w:tcW w:w="4397" w:type="dxa"/>
            <w:tcBorders>
              <w:top w:val="nil"/>
              <w:left w:val="nil"/>
              <w:bottom w:val="single" w:sz="4" w:space="0" w:color="auto"/>
              <w:right w:val="single" w:sz="4" w:space="0" w:color="auto"/>
            </w:tcBorders>
            <w:vAlign w:val="center"/>
          </w:tcPr>
          <w:p w:rsidR="00CE5A9E" w:rsidRDefault="00CE5A9E"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占用耕地的56元/平方米；占用基本农田、标准农田的112元/平方米。</w:t>
            </w:r>
          </w:p>
        </w:tc>
        <w:tc>
          <w:tcPr>
            <w:tcW w:w="4925" w:type="dxa"/>
            <w:tcBorders>
              <w:top w:val="nil"/>
              <w:left w:val="nil"/>
              <w:bottom w:val="single" w:sz="4" w:space="0" w:color="auto"/>
              <w:right w:val="single" w:sz="4" w:space="0" w:color="auto"/>
            </w:tcBorders>
            <w:vAlign w:val="center"/>
          </w:tcPr>
          <w:p w:rsidR="00CE5A9E" w:rsidRDefault="00CE5A9E"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财政部公告2014年第80号、《土地管理法》、浙政发〔2008〕39号、浙委办〔2012〕55号、浙政办发〔2014〕25号</w:t>
            </w:r>
          </w:p>
        </w:tc>
        <w:tc>
          <w:tcPr>
            <w:tcW w:w="1149" w:type="dxa"/>
            <w:tcBorders>
              <w:top w:val="nil"/>
              <w:left w:val="nil"/>
              <w:bottom w:val="single" w:sz="4" w:space="0" w:color="auto"/>
              <w:right w:val="single" w:sz="4" w:space="0" w:color="auto"/>
            </w:tcBorders>
            <w:vAlign w:val="center"/>
          </w:tcPr>
          <w:p w:rsidR="00CE5A9E" w:rsidRDefault="00CE5A9E" w:rsidP="000D5A42">
            <w:pPr>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55" w:type="dxa"/>
            <w:tcBorders>
              <w:top w:val="nil"/>
              <w:left w:val="nil"/>
              <w:bottom w:val="single" w:sz="4" w:space="0" w:color="auto"/>
              <w:right w:val="single" w:sz="4" w:space="0" w:color="auto"/>
            </w:tcBorders>
            <w:vAlign w:val="center"/>
          </w:tcPr>
          <w:p w:rsidR="00CE5A9E" w:rsidRDefault="00CE5A9E" w:rsidP="000D5A42">
            <w:pPr>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CE5A9E" w:rsidTr="000D5A42">
        <w:trPr>
          <w:trHeight w:val="873"/>
        </w:trPr>
        <w:tc>
          <w:tcPr>
            <w:tcW w:w="636" w:type="dxa"/>
            <w:vMerge/>
            <w:tcBorders>
              <w:left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p>
        </w:tc>
        <w:tc>
          <w:tcPr>
            <w:tcW w:w="856" w:type="dxa"/>
            <w:vMerge/>
            <w:tcBorders>
              <w:left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p>
        </w:tc>
        <w:tc>
          <w:tcPr>
            <w:tcW w:w="2052" w:type="dxa"/>
            <w:tcBorders>
              <w:top w:val="nil"/>
              <w:left w:val="nil"/>
              <w:bottom w:val="single" w:sz="4" w:space="0" w:color="auto"/>
              <w:right w:val="single" w:sz="4" w:space="0" w:color="auto"/>
            </w:tcBorders>
            <w:vAlign w:val="center"/>
          </w:tcPr>
          <w:p w:rsidR="00CE5A9E" w:rsidRDefault="00CE5A9E"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2.土地复垦费</w:t>
            </w:r>
          </w:p>
        </w:tc>
        <w:tc>
          <w:tcPr>
            <w:tcW w:w="4397" w:type="dxa"/>
            <w:tcBorders>
              <w:top w:val="nil"/>
              <w:left w:val="nil"/>
              <w:bottom w:val="single" w:sz="4" w:space="0" w:color="auto"/>
              <w:right w:val="single" w:sz="4" w:space="0" w:color="auto"/>
            </w:tcBorders>
            <w:vAlign w:val="center"/>
          </w:tcPr>
          <w:p w:rsidR="00CE5A9E" w:rsidRDefault="00CE5A9E"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详见文件</w:t>
            </w:r>
          </w:p>
        </w:tc>
        <w:tc>
          <w:tcPr>
            <w:tcW w:w="4925" w:type="dxa"/>
            <w:tcBorders>
              <w:top w:val="nil"/>
              <w:left w:val="nil"/>
              <w:bottom w:val="single" w:sz="4" w:space="0" w:color="auto"/>
              <w:right w:val="single" w:sz="4" w:space="0" w:color="auto"/>
            </w:tcBorders>
            <w:vAlign w:val="center"/>
          </w:tcPr>
          <w:p w:rsidR="00CE5A9E" w:rsidRDefault="00CE5A9E"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财政部公告2014年第80号、《土地管理法》、浙政办发〔2000〕221号、《浙江省土地复垦办法》（省政府1993年第33号令）、浙政令〔2010〕284号</w:t>
            </w:r>
          </w:p>
        </w:tc>
        <w:tc>
          <w:tcPr>
            <w:tcW w:w="1149" w:type="dxa"/>
            <w:tcBorders>
              <w:top w:val="nil"/>
              <w:left w:val="nil"/>
              <w:bottom w:val="single" w:sz="4" w:space="0" w:color="auto"/>
              <w:right w:val="single" w:sz="4" w:space="0" w:color="auto"/>
            </w:tcBorders>
            <w:vAlign w:val="center"/>
          </w:tcPr>
          <w:p w:rsidR="00CE5A9E" w:rsidRDefault="00CE5A9E" w:rsidP="000D5A42">
            <w:pPr>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55" w:type="dxa"/>
            <w:tcBorders>
              <w:top w:val="nil"/>
              <w:left w:val="nil"/>
              <w:bottom w:val="single" w:sz="4" w:space="0" w:color="auto"/>
              <w:right w:val="single" w:sz="4" w:space="0" w:color="auto"/>
            </w:tcBorders>
            <w:vAlign w:val="center"/>
          </w:tcPr>
          <w:p w:rsidR="00CE5A9E" w:rsidRDefault="00CE5A9E" w:rsidP="000D5A42">
            <w:pPr>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CE5A9E" w:rsidTr="000D5A42">
        <w:trPr>
          <w:trHeight w:val="793"/>
        </w:trPr>
        <w:tc>
          <w:tcPr>
            <w:tcW w:w="636" w:type="dxa"/>
            <w:vMerge/>
            <w:tcBorders>
              <w:left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p>
        </w:tc>
        <w:tc>
          <w:tcPr>
            <w:tcW w:w="856" w:type="dxa"/>
            <w:vMerge/>
            <w:tcBorders>
              <w:left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p>
        </w:tc>
        <w:tc>
          <w:tcPr>
            <w:tcW w:w="2052" w:type="dxa"/>
            <w:tcBorders>
              <w:top w:val="nil"/>
              <w:left w:val="nil"/>
              <w:bottom w:val="single" w:sz="4" w:space="0" w:color="auto"/>
              <w:right w:val="single" w:sz="4" w:space="0" w:color="auto"/>
            </w:tcBorders>
            <w:vAlign w:val="center"/>
          </w:tcPr>
          <w:p w:rsidR="00CE5A9E" w:rsidRDefault="00CE5A9E"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3.土地闲置费</w:t>
            </w:r>
          </w:p>
        </w:tc>
        <w:tc>
          <w:tcPr>
            <w:tcW w:w="4397" w:type="dxa"/>
            <w:tcBorders>
              <w:top w:val="nil"/>
              <w:left w:val="nil"/>
              <w:bottom w:val="single" w:sz="4" w:space="0" w:color="auto"/>
              <w:right w:val="single" w:sz="4" w:space="0" w:color="auto"/>
            </w:tcBorders>
            <w:vAlign w:val="center"/>
          </w:tcPr>
          <w:p w:rsidR="00CE5A9E" w:rsidRDefault="00CE5A9E"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1.占用耕地进行非农建设造成闲置的：参照耕地开垦费征收标准和办法征收；2.城市规划区内以出让方式取得土地使用权进行房地产开发造成土地闲置的：土地使用权出让或行政划拨土地价款的20%。</w:t>
            </w:r>
          </w:p>
        </w:tc>
        <w:tc>
          <w:tcPr>
            <w:tcW w:w="4925" w:type="dxa"/>
            <w:tcBorders>
              <w:top w:val="nil"/>
              <w:left w:val="nil"/>
              <w:bottom w:val="single" w:sz="4" w:space="0" w:color="auto"/>
              <w:right w:val="single" w:sz="4" w:space="0" w:color="auto"/>
            </w:tcBorders>
            <w:vAlign w:val="center"/>
          </w:tcPr>
          <w:p w:rsidR="00CE5A9E" w:rsidRDefault="00CE5A9E"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财政部公告2014年第80号、《土地管理法》、浙政办发〔2000〕221号、浙政发〔2008〕3号</w:t>
            </w:r>
          </w:p>
        </w:tc>
        <w:tc>
          <w:tcPr>
            <w:tcW w:w="1149" w:type="dxa"/>
            <w:tcBorders>
              <w:top w:val="nil"/>
              <w:left w:val="nil"/>
              <w:bottom w:val="single" w:sz="4" w:space="0" w:color="auto"/>
              <w:right w:val="single" w:sz="4" w:space="0" w:color="auto"/>
            </w:tcBorders>
            <w:vAlign w:val="center"/>
          </w:tcPr>
          <w:p w:rsidR="00CE5A9E" w:rsidRDefault="00CE5A9E" w:rsidP="000D5A42">
            <w:pPr>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55" w:type="dxa"/>
            <w:tcBorders>
              <w:top w:val="nil"/>
              <w:left w:val="nil"/>
              <w:bottom w:val="single" w:sz="4" w:space="0" w:color="auto"/>
              <w:right w:val="single" w:sz="4" w:space="0" w:color="auto"/>
            </w:tcBorders>
            <w:vAlign w:val="center"/>
          </w:tcPr>
          <w:p w:rsidR="00CE5A9E" w:rsidRDefault="00CE5A9E" w:rsidP="000D5A42">
            <w:pPr>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CE5A9E" w:rsidTr="000D5A42">
        <w:trPr>
          <w:trHeight w:val="701"/>
        </w:trPr>
        <w:tc>
          <w:tcPr>
            <w:tcW w:w="636" w:type="dxa"/>
            <w:vMerge/>
            <w:tcBorders>
              <w:left w:val="single" w:sz="4" w:space="0" w:color="auto"/>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p>
        </w:tc>
        <w:tc>
          <w:tcPr>
            <w:tcW w:w="856" w:type="dxa"/>
            <w:vMerge/>
            <w:tcBorders>
              <w:left w:val="single" w:sz="4" w:space="0" w:color="auto"/>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p>
        </w:tc>
        <w:tc>
          <w:tcPr>
            <w:tcW w:w="2052" w:type="dxa"/>
            <w:tcBorders>
              <w:top w:val="nil"/>
              <w:left w:val="nil"/>
              <w:bottom w:val="single" w:sz="4" w:space="0" w:color="auto"/>
              <w:right w:val="single" w:sz="4" w:space="0" w:color="auto"/>
            </w:tcBorders>
            <w:vAlign w:val="center"/>
          </w:tcPr>
          <w:p w:rsidR="00CE5A9E" w:rsidRDefault="00CE5A9E"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4.不动产登记费</w:t>
            </w:r>
          </w:p>
        </w:tc>
        <w:tc>
          <w:tcPr>
            <w:tcW w:w="4397" w:type="dxa"/>
            <w:tcBorders>
              <w:top w:val="nil"/>
              <w:left w:val="nil"/>
              <w:bottom w:val="single" w:sz="4" w:space="0" w:color="auto"/>
              <w:right w:val="single" w:sz="4" w:space="0" w:color="auto"/>
            </w:tcBorders>
            <w:vAlign w:val="center"/>
          </w:tcPr>
          <w:p w:rsidR="00CE5A9E" w:rsidRDefault="00CE5A9E"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住宅类80元/件、非住宅类550元/件。海宁市免征。</w:t>
            </w:r>
          </w:p>
        </w:tc>
        <w:tc>
          <w:tcPr>
            <w:tcW w:w="4925" w:type="dxa"/>
            <w:tcBorders>
              <w:top w:val="nil"/>
              <w:left w:val="nil"/>
              <w:bottom w:val="single" w:sz="4" w:space="0" w:color="auto"/>
              <w:right w:val="single" w:sz="4" w:space="0" w:color="auto"/>
            </w:tcBorders>
            <w:vAlign w:val="center"/>
          </w:tcPr>
          <w:p w:rsidR="00CE5A9E" w:rsidRDefault="00CE5A9E"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财政部公告2014年第80号、国土（籍）字〔1990〕93号、发改价格〔2008〕924号、海政办发〔2013〕244号、浙价费〔2017〕16号、财税〔2019〕45号</w:t>
            </w:r>
          </w:p>
        </w:tc>
        <w:tc>
          <w:tcPr>
            <w:tcW w:w="1149" w:type="dxa"/>
            <w:tcBorders>
              <w:top w:val="nil"/>
              <w:left w:val="nil"/>
              <w:bottom w:val="single" w:sz="4" w:space="0" w:color="auto"/>
              <w:right w:val="single" w:sz="4" w:space="0" w:color="auto"/>
            </w:tcBorders>
            <w:vAlign w:val="center"/>
          </w:tcPr>
          <w:p w:rsidR="00CE5A9E" w:rsidRDefault="00CE5A9E" w:rsidP="000D5A42">
            <w:pPr>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55" w:type="dxa"/>
            <w:tcBorders>
              <w:top w:val="nil"/>
              <w:left w:val="nil"/>
              <w:bottom w:val="single" w:sz="4" w:space="0" w:color="auto"/>
              <w:right w:val="single" w:sz="4" w:space="0" w:color="auto"/>
            </w:tcBorders>
            <w:vAlign w:val="center"/>
          </w:tcPr>
          <w:p w:rsidR="00CE5A9E" w:rsidRDefault="00CE5A9E" w:rsidP="000D5A42">
            <w:pPr>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CE5A9E" w:rsidTr="000D5A42">
        <w:trPr>
          <w:trHeight w:val="765"/>
        </w:trPr>
        <w:tc>
          <w:tcPr>
            <w:tcW w:w="636" w:type="dxa"/>
            <w:vMerge w:val="restart"/>
            <w:tcBorders>
              <w:top w:val="nil"/>
              <w:left w:val="single" w:sz="4" w:space="0" w:color="auto"/>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w:t>
            </w:r>
          </w:p>
        </w:tc>
        <w:tc>
          <w:tcPr>
            <w:tcW w:w="856" w:type="dxa"/>
            <w:vMerge w:val="restart"/>
            <w:tcBorders>
              <w:top w:val="nil"/>
              <w:left w:val="single" w:sz="4" w:space="0" w:color="auto"/>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住建</w:t>
            </w:r>
          </w:p>
        </w:tc>
        <w:tc>
          <w:tcPr>
            <w:tcW w:w="2052" w:type="dxa"/>
            <w:tcBorders>
              <w:top w:val="nil"/>
              <w:left w:val="nil"/>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5.城市道路占用挖掘费</w:t>
            </w:r>
          </w:p>
        </w:tc>
        <w:tc>
          <w:tcPr>
            <w:tcW w:w="4397" w:type="dxa"/>
            <w:tcBorders>
              <w:top w:val="nil"/>
              <w:left w:val="nil"/>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详见文件</w:t>
            </w:r>
          </w:p>
        </w:tc>
        <w:tc>
          <w:tcPr>
            <w:tcW w:w="4925" w:type="dxa"/>
            <w:tcBorders>
              <w:top w:val="nil"/>
              <w:left w:val="nil"/>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财政部公告2014年第80号、建城〔1993〕410号、</w:t>
            </w:r>
            <w:r>
              <w:rPr>
                <w:rFonts w:ascii="仿宋_GB2312" w:eastAsia="仿宋_GB2312" w:hAnsi="宋体" w:cs="宋体"/>
                <w:color w:val="000000"/>
                <w:kern w:val="0"/>
                <w:szCs w:val="21"/>
              </w:rPr>
              <w:t>浙价费〔2007〕136号</w:t>
            </w:r>
            <w:r>
              <w:rPr>
                <w:rFonts w:ascii="仿宋_GB2312" w:eastAsia="仿宋_GB2312" w:hAnsi="宋体" w:cs="宋体" w:hint="eastAsia"/>
                <w:color w:val="000000"/>
                <w:kern w:val="0"/>
                <w:szCs w:val="21"/>
              </w:rPr>
              <w:t>、海发改价〔2007〕177号</w:t>
            </w:r>
          </w:p>
        </w:tc>
        <w:tc>
          <w:tcPr>
            <w:tcW w:w="1149" w:type="dxa"/>
            <w:tcBorders>
              <w:top w:val="nil"/>
              <w:left w:val="nil"/>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55" w:type="dxa"/>
            <w:tcBorders>
              <w:top w:val="nil"/>
              <w:left w:val="nil"/>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CE5A9E" w:rsidRPr="00BD711C" w:rsidTr="000D5A42">
        <w:trPr>
          <w:trHeight w:val="1785"/>
        </w:trPr>
        <w:tc>
          <w:tcPr>
            <w:tcW w:w="636" w:type="dxa"/>
            <w:vMerge/>
            <w:tcBorders>
              <w:top w:val="nil"/>
              <w:left w:val="single" w:sz="4" w:space="0" w:color="auto"/>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p>
        </w:tc>
        <w:tc>
          <w:tcPr>
            <w:tcW w:w="856" w:type="dxa"/>
            <w:vMerge/>
            <w:tcBorders>
              <w:top w:val="nil"/>
              <w:left w:val="single" w:sz="4" w:space="0" w:color="auto"/>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p>
        </w:tc>
        <w:tc>
          <w:tcPr>
            <w:tcW w:w="2052" w:type="dxa"/>
            <w:tcBorders>
              <w:top w:val="single" w:sz="4" w:space="0" w:color="auto"/>
              <w:left w:val="single" w:sz="4" w:space="0" w:color="auto"/>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6.污水处理费</w:t>
            </w:r>
          </w:p>
        </w:tc>
        <w:tc>
          <w:tcPr>
            <w:tcW w:w="4397" w:type="dxa"/>
            <w:tcBorders>
              <w:top w:val="single" w:sz="4" w:space="0" w:color="auto"/>
              <w:left w:val="single" w:sz="4" w:space="0" w:color="auto"/>
              <w:bottom w:val="single" w:sz="4" w:space="0" w:color="auto"/>
              <w:right w:val="single" w:sz="4" w:space="0" w:color="auto"/>
            </w:tcBorders>
            <w:vAlign w:val="center"/>
          </w:tcPr>
          <w:p w:rsidR="00CE5A9E" w:rsidRPr="00BD711C" w:rsidRDefault="00CE5A9E" w:rsidP="000D5A42">
            <w:pPr>
              <w:spacing w:line="260" w:lineRule="exact"/>
              <w:jc w:val="left"/>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1.居民生活污水0.95元/立方米。2.工业污水：化工、印染行业、电镀、造纸、制革前道行业</w:t>
            </w:r>
            <w:r>
              <w:rPr>
                <w:rFonts w:ascii="仿宋_GB2312" w:eastAsia="仿宋_GB2312" w:hAnsi="宋体" w:cs="宋体" w:hint="eastAsia"/>
                <w:color w:val="000000"/>
                <w:kern w:val="0"/>
                <w:szCs w:val="21"/>
              </w:rPr>
              <w:t>分档计价</w:t>
            </w:r>
            <w:r w:rsidRPr="00BD711C">
              <w:rPr>
                <w:rFonts w:ascii="仿宋_GB2312" w:eastAsia="仿宋_GB2312" w:hAnsi="宋体" w:cs="宋体" w:hint="eastAsia"/>
                <w:color w:val="000000"/>
                <w:kern w:val="0"/>
                <w:szCs w:val="21"/>
              </w:rPr>
              <w:t>；一般工业2.2元/立方米。3.非工业污水：商业服务、基建、高尔夫球场、桑拿、水疗1.9元/立方米；国家机关、事业单位1.8元/立方米。2020年2月1日至12月31日，价格下调10%。</w:t>
            </w:r>
          </w:p>
        </w:tc>
        <w:tc>
          <w:tcPr>
            <w:tcW w:w="4925" w:type="dxa"/>
            <w:tcBorders>
              <w:top w:val="single" w:sz="4" w:space="0" w:color="auto"/>
              <w:left w:val="single" w:sz="4" w:space="0" w:color="auto"/>
              <w:bottom w:val="single" w:sz="4" w:space="0" w:color="auto"/>
              <w:right w:val="single" w:sz="4" w:space="0" w:color="auto"/>
            </w:tcBorders>
            <w:vAlign w:val="center"/>
          </w:tcPr>
          <w:p w:rsidR="00CE5A9E" w:rsidRPr="00BD711C" w:rsidRDefault="00CE5A9E" w:rsidP="000D5A42">
            <w:pPr>
              <w:spacing w:line="260" w:lineRule="exact"/>
              <w:jc w:val="left"/>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财政部公告2014年第80号、《城市排水和污水处理条例》、发改价格〔2015〕119号、浙财综〔2015〕39号、财税〔2014〕151号、浙发改价格〔2020〕22号、浙发改价格〔2020〕171号、海政发〔2020〕7号</w:t>
            </w:r>
          </w:p>
        </w:tc>
        <w:tc>
          <w:tcPr>
            <w:tcW w:w="1149" w:type="dxa"/>
            <w:tcBorders>
              <w:top w:val="single" w:sz="4" w:space="0" w:color="auto"/>
              <w:left w:val="single" w:sz="4" w:space="0" w:color="auto"/>
              <w:bottom w:val="single" w:sz="4" w:space="0" w:color="auto"/>
              <w:right w:val="single" w:sz="4" w:space="0" w:color="auto"/>
            </w:tcBorders>
            <w:vAlign w:val="center"/>
          </w:tcPr>
          <w:p w:rsidR="00CE5A9E" w:rsidRPr="00BD711C" w:rsidRDefault="00CE5A9E" w:rsidP="000D5A42">
            <w:pPr>
              <w:widowControl/>
              <w:spacing w:line="260" w:lineRule="exact"/>
              <w:jc w:val="center"/>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中央</w:t>
            </w:r>
          </w:p>
        </w:tc>
        <w:tc>
          <w:tcPr>
            <w:tcW w:w="755" w:type="dxa"/>
            <w:tcBorders>
              <w:top w:val="single" w:sz="4" w:space="0" w:color="auto"/>
              <w:left w:val="single" w:sz="4" w:space="0" w:color="auto"/>
              <w:bottom w:val="single" w:sz="4" w:space="0" w:color="auto"/>
              <w:right w:val="single" w:sz="4" w:space="0" w:color="auto"/>
            </w:tcBorders>
            <w:vAlign w:val="center"/>
          </w:tcPr>
          <w:p w:rsidR="00CE5A9E" w:rsidRPr="00BD711C" w:rsidRDefault="00CE5A9E" w:rsidP="000D5A42">
            <w:pPr>
              <w:widowControl/>
              <w:spacing w:line="260" w:lineRule="exact"/>
              <w:jc w:val="center"/>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 xml:space="preserve">　</w:t>
            </w:r>
          </w:p>
        </w:tc>
      </w:tr>
      <w:tr w:rsidR="00CE5A9E" w:rsidRPr="00BD711C" w:rsidTr="000D5A42">
        <w:trPr>
          <w:trHeight w:val="1608"/>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水利</w:t>
            </w:r>
          </w:p>
        </w:tc>
        <w:tc>
          <w:tcPr>
            <w:tcW w:w="2052" w:type="dxa"/>
            <w:tcBorders>
              <w:top w:val="single" w:sz="4" w:space="0" w:color="auto"/>
              <w:left w:val="single" w:sz="4" w:space="0" w:color="auto"/>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7.水资源费</w:t>
            </w:r>
          </w:p>
        </w:tc>
        <w:tc>
          <w:tcPr>
            <w:tcW w:w="4397" w:type="dxa"/>
            <w:tcBorders>
              <w:top w:val="single" w:sz="4" w:space="0" w:color="auto"/>
              <w:left w:val="single" w:sz="4" w:space="0" w:color="auto"/>
              <w:bottom w:val="single" w:sz="4" w:space="0" w:color="auto"/>
              <w:right w:val="single" w:sz="4" w:space="0" w:color="auto"/>
            </w:tcBorders>
            <w:vAlign w:val="center"/>
          </w:tcPr>
          <w:p w:rsidR="00CE5A9E" w:rsidRPr="00BD711C" w:rsidRDefault="00CE5A9E" w:rsidP="000D5A42">
            <w:pPr>
              <w:spacing w:line="260" w:lineRule="exact"/>
              <w:jc w:val="left"/>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1.地表水：公共供水企业、原水企业、工商业自备取水0.2元/立方米；贯流水0.02元/立方米；水力发电0.008元/千瓦时；特种用水1元/立方米。2.地下水：一般用水0.5元/立方米；特种用水2元/立方米。2020年7月1日至12月31日，按规定标准的80%收取。</w:t>
            </w:r>
          </w:p>
        </w:tc>
        <w:tc>
          <w:tcPr>
            <w:tcW w:w="4925" w:type="dxa"/>
            <w:tcBorders>
              <w:top w:val="single" w:sz="4" w:space="0" w:color="auto"/>
              <w:left w:val="single" w:sz="4" w:space="0" w:color="auto"/>
              <w:bottom w:val="single" w:sz="4" w:space="0" w:color="auto"/>
              <w:right w:val="single" w:sz="4" w:space="0" w:color="auto"/>
            </w:tcBorders>
            <w:vAlign w:val="center"/>
          </w:tcPr>
          <w:p w:rsidR="00CE5A9E" w:rsidRPr="00BD711C" w:rsidRDefault="00CE5A9E" w:rsidP="000D5A42">
            <w:pPr>
              <w:spacing w:line="260" w:lineRule="exact"/>
              <w:jc w:val="left"/>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财政部公告2014年第80号、发改价格〔2014〕1959号、发改价格〔2013〕29号、财综〔2011〕19号、发改价格〔2009〕1779号、财综〔2008〕79号、财综〔2003〕89号、价费字〔1992〕181号、浙价资〔2014〕207号、省疫情防控〔2020〕24号</w:t>
            </w:r>
          </w:p>
        </w:tc>
        <w:tc>
          <w:tcPr>
            <w:tcW w:w="1149" w:type="dxa"/>
            <w:tcBorders>
              <w:top w:val="single" w:sz="4" w:space="0" w:color="auto"/>
              <w:left w:val="single" w:sz="4" w:space="0" w:color="auto"/>
              <w:bottom w:val="single" w:sz="4" w:space="0" w:color="auto"/>
              <w:right w:val="single" w:sz="4" w:space="0" w:color="auto"/>
            </w:tcBorders>
            <w:vAlign w:val="center"/>
          </w:tcPr>
          <w:p w:rsidR="00CE5A9E" w:rsidRPr="00BD711C" w:rsidRDefault="00CE5A9E" w:rsidP="000D5A42">
            <w:pPr>
              <w:widowControl/>
              <w:spacing w:line="260" w:lineRule="exact"/>
              <w:jc w:val="center"/>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中央</w:t>
            </w:r>
          </w:p>
        </w:tc>
        <w:tc>
          <w:tcPr>
            <w:tcW w:w="755" w:type="dxa"/>
            <w:tcBorders>
              <w:top w:val="single" w:sz="4" w:space="0" w:color="auto"/>
              <w:left w:val="single" w:sz="4" w:space="0" w:color="auto"/>
              <w:bottom w:val="single" w:sz="4" w:space="0" w:color="auto"/>
              <w:right w:val="single" w:sz="4" w:space="0" w:color="auto"/>
            </w:tcBorders>
            <w:vAlign w:val="center"/>
          </w:tcPr>
          <w:p w:rsidR="00CE5A9E" w:rsidRPr="00BD711C" w:rsidRDefault="00CE5A9E" w:rsidP="000D5A42">
            <w:pPr>
              <w:widowControl/>
              <w:spacing w:line="260" w:lineRule="exact"/>
              <w:jc w:val="center"/>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 xml:space="preserve">　</w:t>
            </w:r>
          </w:p>
        </w:tc>
      </w:tr>
      <w:tr w:rsidR="00CE5A9E" w:rsidRPr="00BD711C" w:rsidTr="000D5A42">
        <w:trPr>
          <w:trHeight w:val="868"/>
        </w:trPr>
        <w:tc>
          <w:tcPr>
            <w:tcW w:w="636" w:type="dxa"/>
            <w:vMerge/>
            <w:tcBorders>
              <w:top w:val="single" w:sz="4" w:space="0" w:color="auto"/>
              <w:left w:val="single" w:sz="4" w:space="0" w:color="auto"/>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p>
        </w:tc>
        <w:tc>
          <w:tcPr>
            <w:tcW w:w="2052" w:type="dxa"/>
            <w:tcBorders>
              <w:top w:val="single" w:sz="4" w:space="0" w:color="auto"/>
              <w:left w:val="nil"/>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8.水土保持补偿费</w:t>
            </w:r>
          </w:p>
        </w:tc>
        <w:tc>
          <w:tcPr>
            <w:tcW w:w="4397" w:type="dxa"/>
            <w:tcBorders>
              <w:top w:val="single" w:sz="4" w:space="0" w:color="auto"/>
              <w:left w:val="nil"/>
              <w:bottom w:val="single" w:sz="4" w:space="0" w:color="auto"/>
              <w:right w:val="single" w:sz="4" w:space="0" w:color="auto"/>
            </w:tcBorders>
            <w:vAlign w:val="center"/>
          </w:tcPr>
          <w:p w:rsidR="00CE5A9E" w:rsidRPr="00BD711C" w:rsidRDefault="00CE5A9E" w:rsidP="000D5A42">
            <w:pPr>
              <w:widowControl/>
              <w:spacing w:line="260" w:lineRule="exact"/>
              <w:jc w:val="left"/>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1元/平方米（自2015年10月1日起，浙江省按规定标准的80%征收），详见文件。</w:t>
            </w:r>
          </w:p>
        </w:tc>
        <w:tc>
          <w:tcPr>
            <w:tcW w:w="4925" w:type="dxa"/>
            <w:tcBorders>
              <w:top w:val="single" w:sz="4" w:space="0" w:color="auto"/>
              <w:left w:val="nil"/>
              <w:bottom w:val="single" w:sz="4" w:space="0" w:color="auto"/>
              <w:right w:val="single" w:sz="4" w:space="0" w:color="auto"/>
            </w:tcBorders>
            <w:vAlign w:val="center"/>
          </w:tcPr>
          <w:p w:rsidR="00CE5A9E" w:rsidRPr="00BD711C" w:rsidRDefault="00CE5A9E" w:rsidP="000D5A42">
            <w:pPr>
              <w:widowControl/>
              <w:spacing w:line="260" w:lineRule="exact"/>
              <w:jc w:val="left"/>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财政部公告2014年第80号、财综〔2014〕8号、发改价格〔2014〕886号、发改价格〔2017〕1186号、浙价费〔2014〕224号、</w:t>
            </w:r>
            <w:r w:rsidRPr="00BD711C">
              <w:rPr>
                <w:rFonts w:ascii="仿宋_GB2312" w:eastAsia="仿宋_GB2312" w:hAnsi="宋体" w:cs="宋体"/>
                <w:color w:val="000000"/>
                <w:kern w:val="0"/>
                <w:szCs w:val="21"/>
              </w:rPr>
              <w:t>浙政办发〔2015〕107号</w:t>
            </w:r>
            <w:r w:rsidRPr="00BD711C">
              <w:rPr>
                <w:rFonts w:ascii="仿宋_GB2312" w:eastAsia="仿宋_GB2312" w:hAnsi="宋体" w:cs="宋体" w:hint="eastAsia"/>
                <w:color w:val="000000"/>
                <w:kern w:val="0"/>
                <w:szCs w:val="21"/>
              </w:rPr>
              <w:t>、浙价费〔2017〕104号、海发改价〔2014〕400号</w:t>
            </w:r>
          </w:p>
        </w:tc>
        <w:tc>
          <w:tcPr>
            <w:tcW w:w="1149" w:type="dxa"/>
            <w:tcBorders>
              <w:top w:val="single" w:sz="4" w:space="0" w:color="auto"/>
              <w:left w:val="nil"/>
              <w:bottom w:val="single" w:sz="4" w:space="0" w:color="auto"/>
              <w:right w:val="single" w:sz="4" w:space="0" w:color="auto"/>
            </w:tcBorders>
            <w:vAlign w:val="center"/>
          </w:tcPr>
          <w:p w:rsidR="00CE5A9E" w:rsidRPr="00BD711C" w:rsidRDefault="00CE5A9E" w:rsidP="000D5A42">
            <w:pPr>
              <w:widowControl/>
              <w:spacing w:line="260" w:lineRule="exact"/>
              <w:jc w:val="center"/>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中央</w:t>
            </w:r>
          </w:p>
        </w:tc>
        <w:tc>
          <w:tcPr>
            <w:tcW w:w="755" w:type="dxa"/>
            <w:tcBorders>
              <w:top w:val="single" w:sz="4" w:space="0" w:color="auto"/>
              <w:left w:val="nil"/>
              <w:bottom w:val="single" w:sz="4" w:space="0" w:color="auto"/>
              <w:right w:val="single" w:sz="4" w:space="0" w:color="auto"/>
            </w:tcBorders>
            <w:vAlign w:val="center"/>
          </w:tcPr>
          <w:p w:rsidR="00CE5A9E" w:rsidRPr="00BD711C" w:rsidRDefault="00CE5A9E" w:rsidP="000D5A42">
            <w:pPr>
              <w:widowControl/>
              <w:spacing w:line="260" w:lineRule="exact"/>
              <w:jc w:val="center"/>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 xml:space="preserve">　</w:t>
            </w:r>
          </w:p>
        </w:tc>
      </w:tr>
      <w:tr w:rsidR="00CE5A9E" w:rsidRPr="00BD711C" w:rsidTr="000D5A42">
        <w:trPr>
          <w:trHeight w:val="843"/>
        </w:trPr>
        <w:tc>
          <w:tcPr>
            <w:tcW w:w="636" w:type="dxa"/>
            <w:tcBorders>
              <w:top w:val="nil"/>
              <w:left w:val="single" w:sz="4" w:space="0" w:color="auto"/>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四</w:t>
            </w:r>
          </w:p>
        </w:tc>
        <w:tc>
          <w:tcPr>
            <w:tcW w:w="856" w:type="dxa"/>
            <w:tcBorders>
              <w:top w:val="nil"/>
              <w:left w:val="nil"/>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人防</w:t>
            </w:r>
          </w:p>
        </w:tc>
        <w:tc>
          <w:tcPr>
            <w:tcW w:w="2052" w:type="dxa"/>
            <w:tcBorders>
              <w:top w:val="nil"/>
              <w:left w:val="nil"/>
              <w:bottom w:val="single" w:sz="4" w:space="0" w:color="auto"/>
              <w:right w:val="single" w:sz="4" w:space="0" w:color="auto"/>
            </w:tcBorders>
            <w:vAlign w:val="center"/>
          </w:tcPr>
          <w:p w:rsidR="00CE5A9E" w:rsidRDefault="00CE5A9E" w:rsidP="000D5A42">
            <w:pPr>
              <w:widowControl/>
              <w:spacing w:line="260" w:lineRule="exact"/>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9.人防工程易地建设费</w:t>
            </w:r>
          </w:p>
        </w:tc>
        <w:tc>
          <w:tcPr>
            <w:tcW w:w="4397" w:type="dxa"/>
            <w:tcBorders>
              <w:top w:val="nil"/>
              <w:left w:val="nil"/>
              <w:bottom w:val="single" w:sz="4" w:space="0" w:color="auto"/>
              <w:right w:val="single" w:sz="4" w:space="0" w:color="auto"/>
            </w:tcBorders>
            <w:vAlign w:val="center"/>
          </w:tcPr>
          <w:p w:rsidR="00CE5A9E" w:rsidRPr="00BD711C" w:rsidRDefault="00CE5A9E" w:rsidP="000D5A42">
            <w:pPr>
              <w:spacing w:line="260" w:lineRule="exact"/>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省确定的人民防空重点城市（含县城）1700元/平方米，省确定的人民防空镇1300元/平方米。2020年7月1日至12月31日，按规定标准的80%收取。</w:t>
            </w:r>
          </w:p>
        </w:tc>
        <w:tc>
          <w:tcPr>
            <w:tcW w:w="4925" w:type="dxa"/>
            <w:tcBorders>
              <w:top w:val="nil"/>
              <w:left w:val="nil"/>
              <w:bottom w:val="single" w:sz="4" w:space="0" w:color="auto"/>
              <w:right w:val="single" w:sz="4" w:space="0" w:color="auto"/>
            </w:tcBorders>
            <w:vAlign w:val="center"/>
          </w:tcPr>
          <w:p w:rsidR="00CE5A9E" w:rsidRPr="00BD711C" w:rsidRDefault="00CE5A9E" w:rsidP="000D5A42">
            <w:pPr>
              <w:spacing w:line="260" w:lineRule="exact"/>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财政部公告2014年第80号、中发〔2001〕9号，浙价费〔2016〕211号、省疫情防控〔2020〕24号</w:t>
            </w:r>
          </w:p>
        </w:tc>
        <w:tc>
          <w:tcPr>
            <w:tcW w:w="1149" w:type="dxa"/>
            <w:tcBorders>
              <w:top w:val="nil"/>
              <w:left w:val="nil"/>
              <w:bottom w:val="single" w:sz="4" w:space="0" w:color="auto"/>
              <w:right w:val="single" w:sz="4" w:space="0" w:color="auto"/>
            </w:tcBorders>
            <w:vAlign w:val="center"/>
          </w:tcPr>
          <w:p w:rsidR="00CE5A9E" w:rsidRPr="00BD711C" w:rsidRDefault="00CE5A9E" w:rsidP="000D5A42">
            <w:pPr>
              <w:widowControl/>
              <w:spacing w:line="260" w:lineRule="exact"/>
              <w:jc w:val="center"/>
              <w:rPr>
                <w:rFonts w:ascii="仿宋_GB2312" w:eastAsia="仿宋_GB2312" w:hAnsi="宋体" w:cs="宋体" w:hint="eastAsia"/>
                <w:color w:val="000000"/>
                <w:kern w:val="0"/>
                <w:szCs w:val="21"/>
              </w:rPr>
            </w:pPr>
            <w:r w:rsidRPr="00BD711C">
              <w:rPr>
                <w:rFonts w:ascii="仿宋_GB2312" w:eastAsia="仿宋_GB2312" w:hAnsi="宋体" w:cs="宋体" w:hint="eastAsia"/>
                <w:color w:val="000000"/>
                <w:kern w:val="0"/>
                <w:szCs w:val="21"/>
              </w:rPr>
              <w:t>中央</w:t>
            </w:r>
          </w:p>
        </w:tc>
        <w:tc>
          <w:tcPr>
            <w:tcW w:w="755" w:type="dxa"/>
            <w:tcBorders>
              <w:top w:val="nil"/>
              <w:left w:val="nil"/>
              <w:bottom w:val="single" w:sz="4" w:space="0" w:color="auto"/>
              <w:right w:val="single" w:sz="4" w:space="0" w:color="auto"/>
            </w:tcBorders>
            <w:vAlign w:val="center"/>
          </w:tcPr>
          <w:p w:rsidR="00CE5A9E" w:rsidRPr="00BD711C" w:rsidRDefault="00CE5A9E" w:rsidP="000D5A42">
            <w:pPr>
              <w:widowControl/>
              <w:spacing w:line="260" w:lineRule="exact"/>
              <w:jc w:val="center"/>
              <w:rPr>
                <w:rFonts w:ascii="仿宋_GB2312" w:eastAsia="仿宋_GB2312" w:hAnsi="宋体" w:cs="宋体" w:hint="eastAsia"/>
                <w:color w:val="000000"/>
                <w:kern w:val="0"/>
                <w:szCs w:val="21"/>
              </w:rPr>
            </w:pPr>
            <w:r w:rsidRPr="00BD711C">
              <w:rPr>
                <w:rFonts w:ascii="仿宋_GB2312" w:eastAsia="仿宋_GB2312" w:hAnsi="宋体" w:cs="宋体" w:hint="eastAsia"/>
                <w:color w:val="000000"/>
                <w:kern w:val="0"/>
                <w:szCs w:val="21"/>
              </w:rPr>
              <w:t>■</w:t>
            </w:r>
          </w:p>
        </w:tc>
      </w:tr>
      <w:tr w:rsidR="00CE5A9E" w:rsidRPr="00BD711C" w:rsidTr="000D5A42">
        <w:trPr>
          <w:trHeight w:val="510"/>
        </w:trPr>
        <w:tc>
          <w:tcPr>
            <w:tcW w:w="636" w:type="dxa"/>
            <w:tcBorders>
              <w:top w:val="nil"/>
              <w:left w:val="single" w:sz="4" w:space="0" w:color="auto"/>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五</w:t>
            </w:r>
          </w:p>
        </w:tc>
        <w:tc>
          <w:tcPr>
            <w:tcW w:w="856" w:type="dxa"/>
            <w:tcBorders>
              <w:top w:val="nil"/>
              <w:left w:val="nil"/>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法院</w:t>
            </w:r>
          </w:p>
        </w:tc>
        <w:tc>
          <w:tcPr>
            <w:tcW w:w="2052" w:type="dxa"/>
            <w:tcBorders>
              <w:top w:val="nil"/>
              <w:left w:val="nil"/>
              <w:bottom w:val="single" w:sz="4" w:space="0" w:color="auto"/>
              <w:right w:val="single" w:sz="4" w:space="0" w:color="auto"/>
            </w:tcBorders>
            <w:vAlign w:val="center"/>
          </w:tcPr>
          <w:p w:rsidR="00CE5A9E" w:rsidRDefault="00CE5A9E" w:rsidP="000D5A42">
            <w:pPr>
              <w:widowControl/>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10.诉讼费</w:t>
            </w:r>
          </w:p>
        </w:tc>
        <w:tc>
          <w:tcPr>
            <w:tcW w:w="4397" w:type="dxa"/>
            <w:tcBorders>
              <w:top w:val="nil"/>
              <w:left w:val="nil"/>
              <w:bottom w:val="single" w:sz="4" w:space="0" w:color="auto"/>
              <w:right w:val="single" w:sz="4" w:space="0" w:color="auto"/>
            </w:tcBorders>
            <w:vAlign w:val="center"/>
          </w:tcPr>
          <w:p w:rsidR="00CE5A9E" w:rsidRPr="00BD711C" w:rsidRDefault="00CE5A9E" w:rsidP="000D5A42">
            <w:pPr>
              <w:widowControl/>
              <w:spacing w:line="260" w:lineRule="exact"/>
              <w:jc w:val="left"/>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详见文件</w:t>
            </w:r>
          </w:p>
        </w:tc>
        <w:tc>
          <w:tcPr>
            <w:tcW w:w="4925" w:type="dxa"/>
            <w:tcBorders>
              <w:top w:val="nil"/>
              <w:left w:val="nil"/>
              <w:bottom w:val="single" w:sz="4" w:space="0" w:color="auto"/>
              <w:right w:val="single" w:sz="4" w:space="0" w:color="auto"/>
            </w:tcBorders>
            <w:vAlign w:val="center"/>
          </w:tcPr>
          <w:p w:rsidR="00CE5A9E" w:rsidRPr="00BD711C" w:rsidRDefault="00CE5A9E" w:rsidP="000D5A42">
            <w:pPr>
              <w:widowControl/>
              <w:spacing w:line="260" w:lineRule="exact"/>
              <w:jc w:val="left"/>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财政部公告2014年第80号、国务院令第481号、</w:t>
            </w:r>
            <w:r w:rsidRPr="00BD711C">
              <w:rPr>
                <w:rFonts w:ascii="仿宋_GB2312" w:eastAsia="仿宋_GB2312" w:hAnsi="宋体" w:cs="宋体"/>
                <w:color w:val="000000"/>
                <w:kern w:val="0"/>
                <w:szCs w:val="21"/>
              </w:rPr>
              <w:t>浙价费〔2007〕153号</w:t>
            </w:r>
          </w:p>
        </w:tc>
        <w:tc>
          <w:tcPr>
            <w:tcW w:w="1149" w:type="dxa"/>
            <w:tcBorders>
              <w:top w:val="nil"/>
              <w:left w:val="nil"/>
              <w:bottom w:val="single" w:sz="4" w:space="0" w:color="auto"/>
              <w:right w:val="single" w:sz="4" w:space="0" w:color="auto"/>
            </w:tcBorders>
            <w:vAlign w:val="center"/>
          </w:tcPr>
          <w:p w:rsidR="00CE5A9E" w:rsidRPr="00BD711C" w:rsidRDefault="00CE5A9E" w:rsidP="000D5A42">
            <w:pPr>
              <w:widowControl/>
              <w:spacing w:line="260" w:lineRule="exact"/>
              <w:jc w:val="center"/>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中央</w:t>
            </w:r>
          </w:p>
        </w:tc>
        <w:tc>
          <w:tcPr>
            <w:tcW w:w="755" w:type="dxa"/>
            <w:tcBorders>
              <w:top w:val="nil"/>
              <w:left w:val="nil"/>
              <w:bottom w:val="single" w:sz="4" w:space="0" w:color="auto"/>
              <w:right w:val="single" w:sz="4" w:space="0" w:color="auto"/>
            </w:tcBorders>
            <w:vAlign w:val="center"/>
          </w:tcPr>
          <w:p w:rsidR="00CE5A9E" w:rsidRPr="00BD711C" w:rsidRDefault="00CE5A9E" w:rsidP="000D5A42">
            <w:pPr>
              <w:widowControl/>
              <w:spacing w:line="260" w:lineRule="exact"/>
              <w:jc w:val="center"/>
              <w:rPr>
                <w:rFonts w:ascii="仿宋_GB2312" w:eastAsia="仿宋_GB2312" w:hAnsi="宋体" w:cs="宋体"/>
                <w:color w:val="000000"/>
                <w:kern w:val="0"/>
                <w:szCs w:val="21"/>
              </w:rPr>
            </w:pPr>
            <w:r w:rsidRPr="00BD711C">
              <w:rPr>
                <w:rFonts w:ascii="仿宋_GB2312" w:eastAsia="仿宋_GB2312" w:hAnsi="宋体" w:cs="宋体" w:hint="eastAsia"/>
                <w:color w:val="000000"/>
                <w:kern w:val="0"/>
                <w:szCs w:val="21"/>
              </w:rPr>
              <w:t xml:space="preserve">　</w:t>
            </w:r>
          </w:p>
        </w:tc>
      </w:tr>
      <w:tr w:rsidR="00CE5A9E" w:rsidTr="000D5A42">
        <w:trPr>
          <w:trHeight w:val="510"/>
        </w:trPr>
        <w:tc>
          <w:tcPr>
            <w:tcW w:w="636" w:type="dxa"/>
            <w:tcBorders>
              <w:top w:val="nil"/>
              <w:left w:val="single" w:sz="4" w:space="0" w:color="auto"/>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六</w:t>
            </w:r>
          </w:p>
        </w:tc>
        <w:tc>
          <w:tcPr>
            <w:tcW w:w="856" w:type="dxa"/>
            <w:tcBorders>
              <w:top w:val="nil"/>
              <w:left w:val="nil"/>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农业农村</w:t>
            </w:r>
          </w:p>
        </w:tc>
        <w:tc>
          <w:tcPr>
            <w:tcW w:w="2052" w:type="dxa"/>
            <w:tcBorders>
              <w:top w:val="nil"/>
              <w:left w:val="nil"/>
              <w:bottom w:val="single" w:sz="4" w:space="0" w:color="auto"/>
              <w:right w:val="single" w:sz="4" w:space="0" w:color="auto"/>
            </w:tcBorders>
            <w:vAlign w:val="center"/>
          </w:tcPr>
          <w:p w:rsidR="00CE5A9E" w:rsidRDefault="00CE5A9E" w:rsidP="000D5A42">
            <w:pPr>
              <w:widowControl/>
              <w:spacing w:line="26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11.渔业资源增殖保护费</w:t>
            </w:r>
          </w:p>
        </w:tc>
        <w:tc>
          <w:tcPr>
            <w:tcW w:w="4397" w:type="dxa"/>
            <w:tcBorders>
              <w:top w:val="nil"/>
              <w:left w:val="nil"/>
              <w:bottom w:val="single" w:sz="4" w:space="0" w:color="auto"/>
              <w:right w:val="single" w:sz="4" w:space="0" w:color="auto"/>
            </w:tcBorders>
            <w:vAlign w:val="center"/>
          </w:tcPr>
          <w:p w:rsidR="00CE5A9E" w:rsidRDefault="00CE5A9E" w:rsidP="000D5A42">
            <w:pPr>
              <w:widowControl/>
              <w:spacing w:line="26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详见文件</w:t>
            </w:r>
          </w:p>
        </w:tc>
        <w:tc>
          <w:tcPr>
            <w:tcW w:w="4925" w:type="dxa"/>
            <w:tcBorders>
              <w:top w:val="nil"/>
              <w:left w:val="nil"/>
              <w:bottom w:val="single" w:sz="4" w:space="0" w:color="auto"/>
              <w:right w:val="single" w:sz="4" w:space="0" w:color="auto"/>
            </w:tcBorders>
            <w:vAlign w:val="center"/>
          </w:tcPr>
          <w:p w:rsidR="00CE5A9E" w:rsidRDefault="00CE5A9E" w:rsidP="000D5A42">
            <w:pPr>
              <w:widowControl/>
              <w:spacing w:line="26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财政部公告2014年第80号、财综〔2012〕97号、计价格〔1994〕400号、价费字〔1992〕452号、浙价费〔2008〕169号</w:t>
            </w:r>
          </w:p>
        </w:tc>
        <w:tc>
          <w:tcPr>
            <w:tcW w:w="1149" w:type="dxa"/>
            <w:tcBorders>
              <w:top w:val="nil"/>
              <w:left w:val="nil"/>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55" w:type="dxa"/>
            <w:tcBorders>
              <w:top w:val="nil"/>
              <w:left w:val="nil"/>
              <w:bottom w:val="single" w:sz="4" w:space="0" w:color="auto"/>
              <w:right w:val="single" w:sz="4" w:space="0" w:color="auto"/>
            </w:tcBorders>
            <w:vAlign w:val="center"/>
          </w:tcPr>
          <w:p w:rsidR="00CE5A9E" w:rsidRDefault="00CE5A9E" w:rsidP="000D5A42">
            <w:pPr>
              <w:widowControl/>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CE5A9E" w:rsidTr="000D5A42">
        <w:trPr>
          <w:trHeight w:val="1410"/>
        </w:trPr>
        <w:tc>
          <w:tcPr>
            <w:tcW w:w="14770" w:type="dxa"/>
            <w:gridSpan w:val="7"/>
            <w:tcBorders>
              <w:top w:val="nil"/>
              <w:left w:val="nil"/>
              <w:bottom w:val="nil"/>
              <w:right w:val="nil"/>
            </w:tcBorders>
            <w:vAlign w:val="center"/>
          </w:tcPr>
          <w:p w:rsidR="00CE5A9E" w:rsidRDefault="00CE5A9E" w:rsidP="000D5A42">
            <w:pPr>
              <w:widowControl/>
              <w:spacing w:line="320" w:lineRule="exact"/>
              <w:jc w:val="left"/>
              <w:rPr>
                <w:rFonts w:ascii="宋体" w:hAnsi="宋体" w:cs="宋体" w:hint="eastAsia"/>
                <w:color w:val="000000"/>
                <w:kern w:val="0"/>
                <w:sz w:val="22"/>
                <w:szCs w:val="22"/>
              </w:rPr>
            </w:pPr>
            <w:r>
              <w:rPr>
                <w:rFonts w:ascii="宋体" w:hAnsi="宋体" w:cs="宋体" w:hint="eastAsia"/>
                <w:color w:val="000000"/>
                <w:kern w:val="0"/>
                <w:sz w:val="22"/>
                <w:szCs w:val="22"/>
              </w:rPr>
              <w:lastRenderedPageBreak/>
              <w:t>注：1.标注“▲”号的收费项目，对小型微型企业免予征收。</w:t>
            </w:r>
          </w:p>
          <w:p w:rsidR="00CE5A9E" w:rsidRDefault="00CE5A9E" w:rsidP="000D5A42">
            <w:pPr>
              <w:widowControl/>
              <w:spacing w:line="320" w:lineRule="exact"/>
              <w:ind w:firstLine="435"/>
              <w:jc w:val="left"/>
              <w:rPr>
                <w:rFonts w:ascii="宋体" w:hAnsi="宋体" w:cs="宋体" w:hint="eastAsia"/>
                <w:color w:val="000000"/>
                <w:kern w:val="0"/>
                <w:sz w:val="22"/>
                <w:szCs w:val="22"/>
              </w:rPr>
            </w:pPr>
            <w:r>
              <w:rPr>
                <w:rFonts w:ascii="宋体" w:hAnsi="宋体" w:cs="宋体" w:hint="eastAsia"/>
                <w:color w:val="000000"/>
                <w:kern w:val="0"/>
                <w:sz w:val="22"/>
                <w:szCs w:val="22"/>
              </w:rPr>
              <w:t>2.标注“■”号的收费项目，对养老和医疗机构建设予以减免。</w:t>
            </w:r>
          </w:p>
          <w:p w:rsidR="00CE5A9E" w:rsidRDefault="00CE5A9E" w:rsidP="000D5A42">
            <w:pPr>
              <w:widowControl/>
              <w:spacing w:line="320" w:lineRule="exact"/>
              <w:ind w:firstLine="435"/>
              <w:jc w:val="lef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color w:val="000000"/>
                <w:kern w:val="0"/>
                <w:sz w:val="22"/>
                <w:szCs w:val="22"/>
              </w:rPr>
              <w:t>本目录所列项目，为我</w:t>
            </w:r>
            <w:r>
              <w:rPr>
                <w:rFonts w:ascii="宋体" w:hAnsi="宋体" w:cs="宋体" w:hint="eastAsia"/>
                <w:color w:val="000000"/>
                <w:kern w:val="0"/>
                <w:sz w:val="22"/>
                <w:szCs w:val="22"/>
              </w:rPr>
              <w:t>市</w:t>
            </w:r>
            <w:r>
              <w:rPr>
                <w:rFonts w:ascii="宋体" w:hAnsi="宋体" w:cs="宋体"/>
                <w:color w:val="000000"/>
                <w:kern w:val="0"/>
                <w:sz w:val="22"/>
                <w:szCs w:val="22"/>
              </w:rPr>
              <w:t>截至20</w:t>
            </w:r>
            <w:r>
              <w:rPr>
                <w:rFonts w:ascii="宋体" w:hAnsi="宋体" w:cs="宋体" w:hint="eastAsia"/>
                <w:color w:val="000000"/>
                <w:kern w:val="0"/>
                <w:sz w:val="22"/>
                <w:szCs w:val="22"/>
              </w:rPr>
              <w:t>20</w:t>
            </w:r>
            <w:r>
              <w:rPr>
                <w:rFonts w:ascii="宋体" w:hAnsi="宋体" w:cs="宋体"/>
                <w:color w:val="000000"/>
                <w:kern w:val="0"/>
                <w:sz w:val="22"/>
                <w:szCs w:val="22"/>
              </w:rPr>
              <w:t>年</w:t>
            </w:r>
            <w:r>
              <w:rPr>
                <w:rFonts w:ascii="宋体" w:hAnsi="宋体" w:cs="宋体" w:hint="eastAsia"/>
                <w:color w:val="000000"/>
                <w:kern w:val="0"/>
                <w:sz w:val="22"/>
                <w:szCs w:val="22"/>
              </w:rPr>
              <w:t>6</w:t>
            </w:r>
            <w:r>
              <w:rPr>
                <w:rFonts w:ascii="宋体" w:hAnsi="宋体" w:cs="宋体"/>
                <w:color w:val="000000"/>
                <w:kern w:val="0"/>
                <w:sz w:val="22"/>
                <w:szCs w:val="22"/>
              </w:rPr>
              <w:t>月3</w:t>
            </w:r>
            <w:r>
              <w:rPr>
                <w:rFonts w:ascii="宋体" w:hAnsi="宋体" w:cs="宋体" w:hint="eastAsia"/>
                <w:color w:val="000000"/>
                <w:kern w:val="0"/>
                <w:sz w:val="22"/>
                <w:szCs w:val="22"/>
              </w:rPr>
              <w:t>0</w:t>
            </w:r>
            <w:r>
              <w:rPr>
                <w:rFonts w:ascii="宋体" w:hAnsi="宋体" w:cs="宋体"/>
                <w:color w:val="000000"/>
                <w:kern w:val="0"/>
                <w:sz w:val="22"/>
                <w:szCs w:val="22"/>
              </w:rPr>
              <w:t>日</w:t>
            </w:r>
            <w:r>
              <w:rPr>
                <w:rFonts w:ascii="宋体" w:hAnsi="宋体" w:cs="宋体" w:hint="eastAsia"/>
                <w:color w:val="000000"/>
                <w:kern w:val="0"/>
                <w:sz w:val="22"/>
                <w:szCs w:val="22"/>
              </w:rPr>
              <w:t>根据国家、省非税收入管理</w:t>
            </w:r>
            <w:r>
              <w:rPr>
                <w:rFonts w:ascii="宋体" w:hAnsi="宋体" w:cs="宋体"/>
                <w:color w:val="000000"/>
                <w:kern w:val="0"/>
                <w:sz w:val="22"/>
                <w:szCs w:val="22"/>
              </w:rPr>
              <w:t>规定</w:t>
            </w:r>
            <w:r>
              <w:rPr>
                <w:rFonts w:ascii="宋体" w:hAnsi="宋体" w:cs="宋体" w:hint="eastAsia"/>
                <w:color w:val="000000"/>
                <w:kern w:val="0"/>
                <w:sz w:val="22"/>
                <w:szCs w:val="22"/>
              </w:rPr>
              <w:t>实际征收</w:t>
            </w:r>
            <w:r>
              <w:rPr>
                <w:rFonts w:ascii="宋体" w:hAnsi="宋体" w:cs="宋体"/>
                <w:color w:val="000000"/>
                <w:kern w:val="0"/>
                <w:sz w:val="22"/>
                <w:szCs w:val="22"/>
              </w:rPr>
              <w:t>的</w:t>
            </w:r>
            <w:r>
              <w:rPr>
                <w:rFonts w:ascii="宋体" w:hAnsi="宋体" w:cs="宋体" w:hint="eastAsia"/>
                <w:color w:val="000000"/>
                <w:kern w:val="0"/>
                <w:sz w:val="22"/>
                <w:szCs w:val="22"/>
              </w:rPr>
              <w:t>行政事业性收费</w:t>
            </w:r>
            <w:r>
              <w:rPr>
                <w:rFonts w:ascii="宋体" w:hAnsi="宋体" w:cs="宋体"/>
                <w:color w:val="000000"/>
                <w:kern w:val="0"/>
                <w:sz w:val="22"/>
                <w:szCs w:val="22"/>
              </w:rPr>
              <w:t>项目</w:t>
            </w:r>
            <w:r>
              <w:rPr>
                <w:rFonts w:ascii="宋体" w:hAnsi="宋体" w:cs="宋体" w:hint="eastAsia"/>
                <w:color w:val="000000"/>
                <w:kern w:val="0"/>
                <w:sz w:val="22"/>
                <w:szCs w:val="22"/>
              </w:rPr>
              <w:t>（执收资金直接上缴中央的除外）</w:t>
            </w:r>
            <w:r>
              <w:rPr>
                <w:rFonts w:ascii="宋体" w:hAnsi="宋体" w:cs="宋体"/>
                <w:color w:val="000000"/>
                <w:kern w:val="0"/>
                <w:sz w:val="22"/>
                <w:szCs w:val="22"/>
              </w:rPr>
              <w:t>，20</w:t>
            </w:r>
            <w:r>
              <w:rPr>
                <w:rFonts w:ascii="宋体" w:hAnsi="宋体" w:cs="宋体" w:hint="eastAsia"/>
                <w:color w:val="000000"/>
                <w:kern w:val="0"/>
                <w:sz w:val="22"/>
                <w:szCs w:val="22"/>
              </w:rPr>
              <w:t>20</w:t>
            </w:r>
            <w:r>
              <w:rPr>
                <w:rFonts w:ascii="宋体" w:hAnsi="宋体" w:cs="宋体"/>
                <w:color w:val="000000"/>
                <w:kern w:val="0"/>
                <w:sz w:val="22"/>
                <w:szCs w:val="22"/>
              </w:rPr>
              <w:t>年</w:t>
            </w:r>
            <w:r>
              <w:rPr>
                <w:rFonts w:ascii="宋体" w:hAnsi="宋体" w:cs="宋体" w:hint="eastAsia"/>
                <w:color w:val="000000"/>
                <w:kern w:val="0"/>
                <w:sz w:val="22"/>
                <w:szCs w:val="22"/>
              </w:rPr>
              <w:t>7</w:t>
            </w:r>
            <w:r>
              <w:rPr>
                <w:rFonts w:ascii="宋体" w:hAnsi="宋体" w:cs="宋体"/>
                <w:color w:val="000000"/>
                <w:kern w:val="0"/>
                <w:sz w:val="22"/>
                <w:szCs w:val="22"/>
              </w:rPr>
              <w:t>月1日起</w:t>
            </w:r>
            <w:r>
              <w:rPr>
                <w:rFonts w:ascii="宋体" w:hAnsi="宋体" w:cs="宋体" w:hint="eastAsia"/>
                <w:color w:val="000000"/>
                <w:kern w:val="0"/>
                <w:sz w:val="22"/>
                <w:szCs w:val="22"/>
              </w:rPr>
              <w:t>有新政策对政府非税收入项目进行调整的，按上级政策</w:t>
            </w:r>
            <w:r>
              <w:rPr>
                <w:rFonts w:ascii="宋体" w:hAnsi="宋体" w:cs="宋体"/>
                <w:color w:val="000000"/>
                <w:kern w:val="0"/>
                <w:sz w:val="22"/>
                <w:szCs w:val="22"/>
              </w:rPr>
              <w:t>规定执行。</w:t>
            </w:r>
          </w:p>
        </w:tc>
      </w:tr>
    </w:tbl>
    <w:p w:rsidR="00906A70" w:rsidRPr="00CE5A9E" w:rsidRDefault="00906A70"/>
    <w:sectPr w:rsidR="00906A70" w:rsidRPr="00CE5A9E" w:rsidSect="00CE5A9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B42" w:rsidRDefault="00892B42" w:rsidP="00CE5A9E">
      <w:r>
        <w:separator/>
      </w:r>
    </w:p>
  </w:endnote>
  <w:endnote w:type="continuationSeparator" w:id="0">
    <w:p w:rsidR="00892B42" w:rsidRDefault="00892B42" w:rsidP="00CE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B42" w:rsidRDefault="00892B42" w:rsidP="00CE5A9E">
      <w:r>
        <w:separator/>
      </w:r>
    </w:p>
  </w:footnote>
  <w:footnote w:type="continuationSeparator" w:id="0">
    <w:p w:rsidR="00892B42" w:rsidRDefault="00892B42" w:rsidP="00CE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97"/>
    <w:rsid w:val="00892B42"/>
    <w:rsid w:val="00906A70"/>
    <w:rsid w:val="00CE5A9E"/>
    <w:rsid w:val="00DD4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018338-7824-4D5D-A70D-BA0B2565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A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A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5A9E"/>
    <w:rPr>
      <w:sz w:val="18"/>
      <w:szCs w:val="18"/>
    </w:rPr>
  </w:style>
  <w:style w:type="paragraph" w:styleId="a4">
    <w:name w:val="footer"/>
    <w:basedOn w:val="a"/>
    <w:link w:val="Char0"/>
    <w:uiPriority w:val="99"/>
    <w:unhideWhenUsed/>
    <w:rsid w:val="00CE5A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5A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1594</Characters>
  <Application>Microsoft Office Word</Application>
  <DocSecurity>0</DocSecurity>
  <Lines>13</Lines>
  <Paragraphs>3</Paragraphs>
  <ScaleCrop>false</ScaleCrop>
  <Company>Microsoft</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陈海平</dc:creator>
  <cp:keywords/>
  <dc:description/>
  <cp:lastModifiedBy>陈海平</cp:lastModifiedBy>
  <cp:revision>2</cp:revision>
  <dcterms:created xsi:type="dcterms:W3CDTF">2021-10-28T01:45:00Z</dcterms:created>
  <dcterms:modified xsi:type="dcterms:W3CDTF">2021-10-28T01:46:00Z</dcterms:modified>
</cp:coreProperties>
</file>