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44"/>
          <w:szCs w:val="44"/>
        </w:rPr>
      </w:pPr>
      <w:bookmarkStart w:id="3" w:name="_GoBack"/>
      <w:bookmarkEnd w:id="3"/>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ascii="Times New Roman" w:hAnsi="Times New Roman" w:eastAsia="方正小标宋简体" w:cs="Times New Roman"/>
          <w:kern w:val="0"/>
          <w:sz w:val="44"/>
          <w:szCs w:val="44"/>
        </w:rPr>
      </w:pPr>
      <w:r>
        <w:rPr>
          <w:rFonts w:ascii="Times New Roman" w:hAnsi="Times New Roman" w:eastAsia="方正小标宋简体" w:cs="Times New Roman"/>
          <w:kern w:val="0"/>
          <w:sz w:val="44"/>
          <w:szCs w:val="44"/>
        </w:rPr>
        <w:t>海宁市</w:t>
      </w:r>
      <w:r>
        <w:rPr>
          <w:rFonts w:hint="eastAsia" w:ascii="Times New Roman" w:hAnsi="Times New Roman" w:eastAsia="方正小标宋简体" w:cs="Times New Roman"/>
          <w:kern w:val="0"/>
          <w:sz w:val="44"/>
          <w:szCs w:val="44"/>
          <w:lang w:eastAsia="zh-CN"/>
        </w:rPr>
        <w:t>“</w:t>
      </w:r>
      <w:r>
        <w:rPr>
          <w:rFonts w:ascii="Times New Roman" w:hAnsi="Times New Roman" w:eastAsia="方正小标宋简体" w:cs="Times New Roman"/>
          <w:kern w:val="0"/>
          <w:sz w:val="44"/>
          <w:szCs w:val="44"/>
        </w:rPr>
        <w:t>十四五</w:t>
      </w:r>
      <w:r>
        <w:rPr>
          <w:rFonts w:hint="eastAsia" w:ascii="Times New Roman" w:hAnsi="Times New Roman" w:eastAsia="方正小标宋简体" w:cs="Times New Roman"/>
          <w:kern w:val="0"/>
          <w:sz w:val="44"/>
          <w:szCs w:val="44"/>
          <w:lang w:eastAsia="zh-CN"/>
        </w:rPr>
        <w:t>”</w:t>
      </w:r>
      <w:r>
        <w:rPr>
          <w:rFonts w:ascii="Times New Roman" w:hAnsi="Times New Roman" w:eastAsia="方正小标宋简体" w:cs="Times New Roman"/>
          <w:kern w:val="0"/>
          <w:sz w:val="44"/>
          <w:szCs w:val="44"/>
        </w:rPr>
        <w:t>规划调查问卷分析报告</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ascii="Times New Roman" w:hAnsi="Times New Roman" w:eastAsia="仿宋_GB2312" w:cs="Times New Roman"/>
          <w:kern w:val="0"/>
          <w:sz w:val="32"/>
          <w:szCs w:val="32"/>
        </w:rPr>
      </w:pPr>
    </w:p>
    <w:p>
      <w:pPr>
        <w:pageBreakBefore w:val="0"/>
        <w:widowControl/>
        <w:kinsoku/>
        <w:wordWrap/>
        <w:overflowPunct/>
        <w:topLinePunct w:val="0"/>
        <w:autoSpaceDE/>
        <w:autoSpaceDN/>
        <w:bidi w:val="0"/>
        <w:adjustRightInd/>
        <w:snapToGrid/>
        <w:spacing w:line="560" w:lineRule="exact"/>
        <w:ind w:firstLine="640"/>
        <w:textAlignment w:val="auto"/>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eastAsia="zh-CN"/>
        </w:rPr>
        <w:t>为</w:t>
      </w:r>
      <w:r>
        <w:rPr>
          <w:rFonts w:hint="eastAsia" w:ascii="Times New Roman" w:hAnsi="Times New Roman" w:eastAsia="仿宋_GB2312" w:cs="Times New Roman"/>
          <w:kern w:val="0"/>
          <w:sz w:val="32"/>
          <w:szCs w:val="32"/>
        </w:rPr>
        <w:t>科学编制“十四五”规划，</w:t>
      </w:r>
      <w:r>
        <w:rPr>
          <w:rFonts w:hint="eastAsia" w:ascii="Times New Roman" w:hAnsi="Times New Roman" w:eastAsia="仿宋_GB2312" w:cs="Times New Roman"/>
          <w:kern w:val="0"/>
          <w:sz w:val="32"/>
          <w:szCs w:val="32"/>
          <w:lang w:eastAsia="zh-CN"/>
        </w:rPr>
        <w:t>我局</w:t>
      </w:r>
      <w:r>
        <w:rPr>
          <w:rFonts w:hint="eastAsia" w:ascii="Times New Roman" w:hAnsi="Times New Roman" w:eastAsia="仿宋_GB2312" w:cs="Times New Roman"/>
          <w:kern w:val="0"/>
          <w:sz w:val="32"/>
          <w:szCs w:val="32"/>
        </w:rPr>
        <w:t>于</w:t>
      </w:r>
      <w:r>
        <w:rPr>
          <w:rFonts w:ascii="Times New Roman" w:hAnsi="Times New Roman" w:eastAsia="仿宋_GB2312" w:cs="Times New Roman"/>
          <w:kern w:val="0"/>
          <w:sz w:val="32"/>
          <w:szCs w:val="32"/>
        </w:rPr>
        <w:t>7月14日在海宁大潮网等公众号开展了</w:t>
      </w:r>
      <w:r>
        <w:rPr>
          <w:rFonts w:hint="eastAsia" w:ascii="Times New Roman" w:hAnsi="Times New Roman" w:eastAsia="仿宋_GB2312" w:cs="Times New Roman"/>
          <w:kern w:val="0"/>
          <w:sz w:val="32"/>
          <w:szCs w:val="32"/>
          <w:lang w:eastAsia="zh-CN"/>
        </w:rPr>
        <w:t>“十四五”规划</w:t>
      </w:r>
      <w:r>
        <w:rPr>
          <w:rFonts w:ascii="Times New Roman" w:hAnsi="Times New Roman" w:eastAsia="仿宋_GB2312" w:cs="Times New Roman"/>
          <w:kern w:val="0"/>
          <w:sz w:val="32"/>
          <w:szCs w:val="32"/>
        </w:rPr>
        <w:t>网上民意调查。</w:t>
      </w:r>
      <w:r>
        <w:rPr>
          <w:rFonts w:hint="eastAsia" w:ascii="Times New Roman" w:hAnsi="Times New Roman" w:eastAsia="仿宋_GB2312" w:cs="Times New Roman"/>
          <w:kern w:val="0"/>
          <w:sz w:val="32"/>
          <w:szCs w:val="32"/>
        </w:rPr>
        <w:t>本问卷共</w:t>
      </w:r>
      <w:r>
        <w:rPr>
          <w:rFonts w:ascii="Times New Roman" w:hAnsi="Times New Roman" w:eastAsia="仿宋_GB2312" w:cs="Times New Roman"/>
          <w:kern w:val="0"/>
          <w:sz w:val="32"/>
          <w:szCs w:val="32"/>
        </w:rPr>
        <w:t>设置</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方面28个问题，</w:t>
      </w:r>
      <w:r>
        <w:rPr>
          <w:rFonts w:hint="eastAsia" w:ascii="Times New Roman" w:hAnsi="Times New Roman" w:eastAsia="仿宋_GB2312" w:cs="Times New Roman"/>
          <w:kern w:val="0"/>
          <w:sz w:val="32"/>
          <w:szCs w:val="32"/>
        </w:rPr>
        <w:t>涵盖基本情况、发展评价、发展愿景等方面，</w:t>
      </w:r>
      <w:r>
        <w:rPr>
          <w:rFonts w:ascii="Times New Roman" w:hAnsi="Times New Roman" w:eastAsia="仿宋_GB2312" w:cs="Times New Roman"/>
          <w:kern w:val="0"/>
          <w:sz w:val="32"/>
          <w:szCs w:val="32"/>
        </w:rPr>
        <w:t>截至7月2</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日，问卷总访问量3</w:t>
      </w:r>
      <w:r>
        <w:rPr>
          <w:rFonts w:hint="eastAsia" w:ascii="Times New Roman" w:hAnsi="Times New Roman" w:eastAsia="仿宋_GB2312" w:cs="Times New Roman"/>
          <w:kern w:val="0"/>
          <w:sz w:val="32"/>
          <w:szCs w:val="32"/>
        </w:rPr>
        <w:t>898</w:t>
      </w:r>
      <w:r>
        <w:rPr>
          <w:rFonts w:ascii="Times New Roman" w:hAnsi="Times New Roman" w:eastAsia="仿宋_GB2312" w:cs="Times New Roman"/>
          <w:kern w:val="0"/>
          <w:sz w:val="32"/>
          <w:szCs w:val="32"/>
        </w:rPr>
        <w:t>次，回收有效答卷15</w:t>
      </w:r>
      <w:r>
        <w:rPr>
          <w:rFonts w:hint="eastAsia" w:ascii="Times New Roman" w:hAnsi="Times New Roman" w:eastAsia="仿宋_GB2312" w:cs="Times New Roman"/>
          <w:kern w:val="0"/>
          <w:sz w:val="32"/>
          <w:szCs w:val="32"/>
        </w:rPr>
        <w:t>82</w:t>
      </w:r>
      <w:r>
        <w:rPr>
          <w:rFonts w:ascii="Times New Roman" w:hAnsi="Times New Roman" w:eastAsia="仿宋_GB2312" w:cs="Times New Roman"/>
          <w:kern w:val="0"/>
          <w:sz w:val="32"/>
          <w:szCs w:val="32"/>
        </w:rPr>
        <w:t>份。</w:t>
      </w:r>
      <w:r>
        <w:rPr>
          <w:rFonts w:hint="eastAsia" w:ascii="Times New Roman" w:hAnsi="Times New Roman" w:eastAsia="仿宋_GB2312" w:cs="Times New Roman"/>
          <w:kern w:val="0"/>
          <w:sz w:val="32"/>
          <w:szCs w:val="32"/>
          <w:lang w:eastAsia="zh-CN"/>
        </w:rPr>
        <w:t>本次调查问卷</w:t>
      </w:r>
      <w:r>
        <w:rPr>
          <w:rFonts w:ascii="Times New Roman" w:hAnsi="Times New Roman" w:eastAsia="仿宋_GB2312" w:cs="Times New Roman"/>
          <w:kern w:val="0"/>
          <w:sz w:val="32"/>
          <w:szCs w:val="32"/>
        </w:rPr>
        <w:t>为我市“十四五”规划发展提供了有力支撑</w:t>
      </w:r>
      <w:r>
        <w:rPr>
          <w:rFonts w:hint="eastAsia" w:ascii="Times New Roman" w:hAnsi="Times New Roman" w:eastAsia="仿宋_GB2312" w:cs="Times New Roman"/>
          <w:kern w:val="0"/>
          <w:sz w:val="32"/>
          <w:szCs w:val="32"/>
          <w:lang w:eastAsia="zh-CN"/>
        </w:rPr>
        <w:t>，</w:t>
      </w:r>
      <w:r>
        <w:rPr>
          <w:rFonts w:hint="eastAsia" w:ascii="仿宋_GB2312" w:hAnsi="Calibri" w:eastAsia="仿宋_GB2312" w:cs="仿宋_GB2312"/>
          <w:color w:val="000000"/>
          <w:sz w:val="32"/>
          <w:szCs w:val="32"/>
          <w:shd w:val="clear" w:color="auto" w:fill="FFFFFF"/>
          <w:lang w:eastAsia="zh-CN" w:bidi="ar"/>
        </w:rPr>
        <w:t>现形成了分析报告</w:t>
      </w:r>
      <w:r>
        <w:rPr>
          <w:rFonts w:ascii="Times New Roman" w:hAnsi="Times New Roman" w:eastAsia="仿宋_GB2312" w:cs="Times New Roman"/>
          <w:kern w:val="0"/>
          <w:sz w:val="32"/>
          <w:szCs w:val="32"/>
        </w:rPr>
        <w:t>。</w:t>
      </w:r>
    </w:p>
    <w:p>
      <w:pPr>
        <w:keepNext/>
        <w:keepLines/>
        <w:pageBreakBefore w:val="0"/>
        <w:widowControl/>
        <w:kinsoku/>
        <w:wordWrap/>
        <w:overflowPunct/>
        <w:topLinePunct w:val="0"/>
        <w:autoSpaceDE/>
        <w:autoSpaceDN/>
        <w:bidi w:val="0"/>
        <w:adjustRightInd/>
        <w:snapToGrid/>
        <w:spacing w:line="560" w:lineRule="exact"/>
        <w:ind w:firstLine="640"/>
        <w:jc w:val="left"/>
        <w:textAlignment w:val="auto"/>
        <w:outlineLvl w:val="1"/>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一、基本情况</w:t>
      </w:r>
    </w:p>
    <w:p>
      <w:pPr>
        <w:pageBreakBefore w:val="0"/>
        <w:widowControl/>
        <w:kinsoku/>
        <w:wordWrap/>
        <w:overflowPunct/>
        <w:topLinePunct w:val="0"/>
        <w:autoSpaceDE/>
        <w:autoSpaceDN/>
        <w:bidi w:val="0"/>
        <w:adjustRightInd/>
        <w:snapToGrid/>
        <w:spacing w:line="560" w:lineRule="exact"/>
        <w:ind w:firstLine="64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有效问卷</w:t>
      </w:r>
      <w:r>
        <w:rPr>
          <w:rFonts w:hint="eastAsia" w:ascii="Times New Roman" w:hAnsi="Times New Roman" w:eastAsia="仿宋_GB2312" w:cs="Times New Roman"/>
          <w:kern w:val="0"/>
          <w:sz w:val="32"/>
          <w:szCs w:val="32"/>
        </w:rPr>
        <w:t>共计1</w:t>
      </w:r>
      <w:r>
        <w:rPr>
          <w:rFonts w:ascii="Times New Roman" w:hAnsi="Times New Roman" w:eastAsia="仿宋_GB2312" w:cs="Times New Roman"/>
          <w:kern w:val="0"/>
          <w:sz w:val="32"/>
          <w:szCs w:val="32"/>
        </w:rPr>
        <w:t>582</w:t>
      </w:r>
      <w:r>
        <w:rPr>
          <w:rFonts w:hint="eastAsia" w:ascii="Times New Roman" w:hAnsi="Times New Roman" w:eastAsia="仿宋_GB2312" w:cs="Times New Roman"/>
          <w:kern w:val="0"/>
          <w:sz w:val="32"/>
          <w:szCs w:val="32"/>
        </w:rPr>
        <w:t>份</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受访者</w:t>
      </w:r>
      <w:r>
        <w:rPr>
          <w:rFonts w:ascii="Times New Roman" w:hAnsi="Times New Roman" w:eastAsia="仿宋_GB2312" w:cs="Times New Roman"/>
          <w:kern w:val="0"/>
          <w:sz w:val="32"/>
          <w:szCs w:val="32"/>
        </w:rPr>
        <w:t>男</w:t>
      </w:r>
      <w:r>
        <w:rPr>
          <w:rFonts w:hint="eastAsia" w:ascii="Times New Roman" w:hAnsi="Times New Roman" w:eastAsia="仿宋_GB2312" w:cs="Times New Roman"/>
          <w:kern w:val="0"/>
          <w:sz w:val="32"/>
          <w:szCs w:val="32"/>
        </w:rPr>
        <w:t>女比例为6:4，以</w:t>
      </w:r>
      <w:r>
        <w:rPr>
          <w:rFonts w:ascii="Times New Roman" w:hAnsi="Times New Roman" w:eastAsia="仿宋_GB2312" w:cs="Times New Roman"/>
          <w:kern w:val="0"/>
          <w:sz w:val="32"/>
          <w:szCs w:val="32"/>
        </w:rPr>
        <w:t>18-40岁的</w:t>
      </w:r>
      <w:r>
        <w:rPr>
          <w:rFonts w:hint="eastAsia" w:ascii="Times New Roman" w:hAnsi="Times New Roman" w:eastAsia="仿宋_GB2312" w:cs="Times New Roman"/>
          <w:kern w:val="0"/>
          <w:sz w:val="32"/>
          <w:szCs w:val="32"/>
        </w:rPr>
        <w:t>中</w:t>
      </w:r>
      <w:r>
        <w:rPr>
          <w:rFonts w:ascii="Times New Roman" w:hAnsi="Times New Roman" w:eastAsia="仿宋_GB2312" w:cs="Times New Roman"/>
          <w:kern w:val="0"/>
          <w:sz w:val="32"/>
          <w:szCs w:val="32"/>
        </w:rPr>
        <w:t>青年为主，</w:t>
      </w:r>
      <w:r>
        <w:rPr>
          <w:rFonts w:hint="eastAsia" w:ascii="Times New Roman" w:hAnsi="Times New Roman" w:eastAsia="仿宋_GB2312" w:cs="Times New Roman"/>
          <w:kern w:val="0"/>
          <w:sz w:val="32"/>
          <w:szCs w:val="32"/>
        </w:rPr>
        <w:t>超过5</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%的人群接受过本科以上的教育，8</w:t>
      </w:r>
      <w:r>
        <w:rPr>
          <w:rFonts w:ascii="Times New Roman" w:hAnsi="Times New Roman" w:eastAsia="仿宋_GB2312" w:cs="Times New Roman"/>
          <w:kern w:val="0"/>
          <w:sz w:val="32"/>
          <w:szCs w:val="32"/>
        </w:rPr>
        <w:t>8.6</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户籍地</w:t>
      </w:r>
      <w:r>
        <w:rPr>
          <w:rFonts w:hint="eastAsia" w:ascii="Times New Roman" w:hAnsi="Times New Roman" w:eastAsia="仿宋_GB2312" w:cs="Times New Roman"/>
          <w:kern w:val="0"/>
          <w:sz w:val="32"/>
          <w:szCs w:val="32"/>
          <w:lang w:eastAsia="zh-CN"/>
        </w:rPr>
        <w:t>为</w:t>
      </w:r>
      <w:r>
        <w:rPr>
          <w:rFonts w:ascii="Times New Roman" w:hAnsi="Times New Roman" w:eastAsia="仿宋_GB2312" w:cs="Times New Roman"/>
          <w:kern w:val="0"/>
          <w:sz w:val="32"/>
          <w:szCs w:val="32"/>
        </w:rPr>
        <w:t>海宁。</w:t>
      </w:r>
    </w:p>
    <w:p>
      <w:pPr>
        <w:widowControl/>
        <w:wordWrap w:val="0"/>
        <w:spacing w:line="240" w:lineRule="auto"/>
        <w:ind w:firstLine="0" w:firstLineChars="0"/>
        <w:jc w:val="center"/>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inline distT="0" distB="0" distL="0" distR="0">
            <wp:extent cx="5274310" cy="2529840"/>
            <wp:effectExtent l="0" t="0" r="2540" b="3810"/>
            <wp:docPr id="25" name="图片 25" descr="C:\Users\aoc\Desktop\未标题-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C:\Users\aoc\Desktop\未标题-1.png"/>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5274310" cy="2530068"/>
                    </a:xfrm>
                    <a:prstGeom prst="rect">
                      <a:avLst/>
                    </a:prstGeom>
                    <a:noFill/>
                    <a:ln>
                      <a:noFill/>
                    </a:ln>
                  </pic:spPr>
                </pic:pic>
              </a:graphicData>
            </a:graphic>
          </wp:inline>
        </w:drawing>
      </w:r>
    </w:p>
    <w:p>
      <w:pPr>
        <w:widowControl/>
        <w:spacing w:line="240" w:lineRule="auto"/>
        <w:ind w:firstLine="0" w:firstLineChars="0"/>
        <w:jc w:val="center"/>
        <w:rPr>
          <w:rFonts w:ascii="Times New Roman" w:hAnsi="Times New Roman" w:eastAsia="仿宋_GB2312" w:cs="Times New Roman"/>
          <w:kern w:val="0"/>
          <w:sz w:val="32"/>
          <w:szCs w:val="32"/>
        </w:rPr>
      </w:pPr>
      <w:r>
        <w:rPr>
          <w:rFonts w:ascii="Times New Roman" w:hAnsi="Times New Roman" w:eastAsia="黑体" w:cs="Times New Roman"/>
          <w:kern w:val="0"/>
          <w:sz w:val="28"/>
          <w:szCs w:val="28"/>
        </w:rPr>
        <w:t xml:space="preserve">图 </w:t>
      </w:r>
      <w:r>
        <w:rPr>
          <w:rFonts w:ascii="Times New Roman" w:hAnsi="Times New Roman" w:eastAsia="黑体" w:cs="Times New Roman"/>
          <w:kern w:val="0"/>
          <w:sz w:val="28"/>
          <w:szCs w:val="28"/>
        </w:rPr>
        <w:fldChar w:fldCharType="begin"/>
      </w:r>
      <w:r>
        <w:rPr>
          <w:rFonts w:ascii="Times New Roman" w:hAnsi="Times New Roman" w:eastAsia="黑体" w:cs="Times New Roman"/>
          <w:kern w:val="0"/>
          <w:sz w:val="28"/>
          <w:szCs w:val="28"/>
        </w:rPr>
        <w:instrText xml:space="preserve"> SEQ 图 \* ARABIC </w:instrText>
      </w:r>
      <w:r>
        <w:rPr>
          <w:rFonts w:ascii="Times New Roman" w:hAnsi="Times New Roman" w:eastAsia="黑体" w:cs="Times New Roman"/>
          <w:kern w:val="0"/>
          <w:sz w:val="28"/>
          <w:szCs w:val="28"/>
        </w:rPr>
        <w:fldChar w:fldCharType="separate"/>
      </w:r>
      <w:r>
        <w:rPr>
          <w:rFonts w:ascii="Times New Roman" w:hAnsi="Times New Roman" w:eastAsia="黑体" w:cs="Times New Roman"/>
          <w:kern w:val="0"/>
          <w:sz w:val="28"/>
          <w:szCs w:val="28"/>
        </w:rPr>
        <w:t>1</w:t>
      </w:r>
      <w:r>
        <w:rPr>
          <w:rFonts w:ascii="Times New Roman" w:hAnsi="Times New Roman" w:eastAsia="黑体" w:cs="Times New Roman"/>
          <w:kern w:val="0"/>
          <w:sz w:val="28"/>
          <w:szCs w:val="28"/>
        </w:rPr>
        <w:fldChar w:fldCharType="end"/>
      </w:r>
      <w:r>
        <w:rPr>
          <w:rFonts w:ascii="Times New Roman" w:hAnsi="Times New Roman" w:eastAsia="黑体" w:cs="Times New Roman"/>
          <w:kern w:val="0"/>
          <w:sz w:val="28"/>
          <w:szCs w:val="28"/>
        </w:rPr>
        <w:t xml:space="preserve"> 受访者</w:t>
      </w:r>
      <w:r>
        <w:rPr>
          <w:rFonts w:hint="eastAsia" w:ascii="Times New Roman" w:hAnsi="Times New Roman" w:eastAsia="黑体" w:cs="Times New Roman"/>
          <w:kern w:val="0"/>
          <w:sz w:val="28"/>
          <w:szCs w:val="28"/>
        </w:rPr>
        <w:t>人物画像</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anchor distT="0" distB="0" distL="114300" distR="114300" simplePos="0" relativeHeight="251661312" behindDoc="0" locked="0" layoutInCell="1" allowOverlap="1">
            <wp:simplePos x="0" y="0"/>
            <wp:positionH relativeFrom="margin">
              <wp:posOffset>336550</wp:posOffset>
            </wp:positionH>
            <wp:positionV relativeFrom="paragraph">
              <wp:posOffset>1256665</wp:posOffset>
            </wp:positionV>
            <wp:extent cx="5112385" cy="2483485"/>
            <wp:effectExtent l="0" t="0" r="0" b="0"/>
            <wp:wrapTopAndBottom/>
            <wp:docPr id="7" name="图片 7" descr="C:\Users\aoc\Desktop\未标题-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aoc\Desktop\未标题-3.pn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5112385" cy="2483485"/>
                    </a:xfrm>
                    <a:prstGeom prst="rect">
                      <a:avLst/>
                    </a:prstGeom>
                    <a:noFill/>
                    <a:ln>
                      <a:noFill/>
                    </a:ln>
                  </pic:spPr>
                </pic:pic>
              </a:graphicData>
            </a:graphic>
          </wp:anchor>
        </w:drawing>
      </w:r>
      <w:r>
        <w:rPr>
          <w:rFonts w:ascii="Times New Roman" w:hAnsi="Times New Roman" w:eastAsia="仿宋_GB2312" w:cs="Times New Roman"/>
          <w:kern w:val="0"/>
          <w:sz w:val="32"/>
          <w:szCs w:val="32"/>
        </w:rPr>
        <w:t>受访者</w:t>
      </w:r>
      <w:r>
        <w:rPr>
          <w:rFonts w:hint="eastAsia" w:ascii="Times New Roman" w:hAnsi="Times New Roman" w:eastAsia="仿宋_GB2312" w:cs="Times New Roman"/>
          <w:kern w:val="0"/>
          <w:sz w:val="32"/>
          <w:szCs w:val="32"/>
        </w:rPr>
        <w:t>以公司职员、机关及事业单位人员、私企业主及工人为主，也有大学生、农民、离退休人员、军人等参与本次调查。据统计，年收入普遍集中在5—2</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万之间</w:t>
      </w:r>
      <w:r>
        <w:rPr>
          <w:rFonts w:ascii="Times New Roman" w:hAnsi="Times New Roman" w:eastAsia="仿宋_GB2312" w:cs="Times New Roman"/>
          <w:kern w:val="0"/>
          <w:sz w:val="32"/>
          <w:szCs w:val="32"/>
        </w:rPr>
        <w:t>。</w:t>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w:t>
      </w:r>
      <w:r>
        <w:rPr>
          <w:rFonts w:ascii="Times New Roman" w:hAnsi="Times New Roman" w:eastAsia="黑体" w:cs="Times New Roman"/>
          <w:kern w:val="0"/>
          <w:sz w:val="28"/>
          <w:szCs w:val="28"/>
        </w:rPr>
        <w:fldChar w:fldCharType="begin"/>
      </w:r>
      <w:r>
        <w:rPr>
          <w:rFonts w:ascii="Times New Roman" w:hAnsi="Times New Roman" w:eastAsia="黑体" w:cs="Times New Roman"/>
          <w:kern w:val="0"/>
          <w:sz w:val="28"/>
          <w:szCs w:val="28"/>
        </w:rPr>
        <w:instrText xml:space="preserve"> SEQ 图 \* ARABIC </w:instrText>
      </w:r>
      <w:r>
        <w:rPr>
          <w:rFonts w:ascii="Times New Roman" w:hAnsi="Times New Roman" w:eastAsia="黑体" w:cs="Times New Roman"/>
          <w:kern w:val="0"/>
          <w:sz w:val="28"/>
          <w:szCs w:val="28"/>
        </w:rPr>
        <w:fldChar w:fldCharType="separate"/>
      </w:r>
      <w:r>
        <w:rPr>
          <w:rFonts w:ascii="Times New Roman" w:hAnsi="Times New Roman" w:eastAsia="黑体" w:cs="Times New Roman"/>
          <w:kern w:val="0"/>
          <w:sz w:val="28"/>
          <w:szCs w:val="28"/>
        </w:rPr>
        <w:t>2</w:t>
      </w:r>
      <w:r>
        <w:rPr>
          <w:rFonts w:ascii="Times New Roman" w:hAnsi="Times New Roman" w:eastAsia="黑体" w:cs="Times New Roman"/>
          <w:kern w:val="0"/>
          <w:sz w:val="28"/>
          <w:szCs w:val="28"/>
        </w:rPr>
        <w:fldChar w:fldCharType="end"/>
      </w:r>
      <w:r>
        <w:rPr>
          <w:rFonts w:ascii="Times New Roman" w:hAnsi="Times New Roman" w:eastAsia="黑体" w:cs="Times New Roman"/>
          <w:kern w:val="0"/>
          <w:sz w:val="28"/>
          <w:szCs w:val="28"/>
        </w:rPr>
        <w:t xml:space="preserve"> 受访者从事的职业分布情况</w:t>
      </w:r>
    </w:p>
    <w:p>
      <w:pPr>
        <w:keepNext/>
        <w:keepLines/>
        <w:widowControl/>
        <w:spacing w:line="415" w:lineRule="auto"/>
        <w:ind w:firstLine="640"/>
        <w:jc w:val="left"/>
        <w:outlineLvl w:val="1"/>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二、</w:t>
      </w:r>
      <w:r>
        <w:rPr>
          <w:rFonts w:hint="eastAsia" w:ascii="Times New Roman" w:hAnsi="Times New Roman" w:eastAsia="黑体" w:cs="Times New Roman"/>
          <w:bCs/>
          <w:kern w:val="0"/>
          <w:sz w:val="32"/>
          <w:szCs w:val="32"/>
        </w:rPr>
        <w:t>“十三五”海宁经济社会发展</w:t>
      </w:r>
      <w:r>
        <w:rPr>
          <w:rFonts w:ascii="Times New Roman" w:hAnsi="Times New Roman" w:eastAsia="黑体" w:cs="Times New Roman"/>
          <w:bCs/>
          <w:kern w:val="0"/>
          <w:sz w:val="32"/>
          <w:szCs w:val="32"/>
        </w:rPr>
        <w:t>评价</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1</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地理位置优越、生态环境优美、就业创业机会多，是海宁当前最为突出的优势。</w:t>
      </w:r>
      <w:r>
        <w:rPr>
          <w:rFonts w:hint="eastAsia" w:ascii="Times New Roman" w:hAnsi="Times New Roman" w:eastAsia="仿宋_GB2312" w:cs="Times New Roman"/>
          <w:kern w:val="0"/>
          <w:sz w:val="32"/>
          <w:szCs w:val="32"/>
        </w:rPr>
        <w:t>调查结果显示，75.6%的受访者认为海宁地理位置优越是其最大的特征，63.7%的认为生态环境优美是城市具有吸引力的关键所在，42.0%的认为海宁存在较多的就业创业机会。</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114300" distR="114300">
            <wp:extent cx="4572000" cy="2743200"/>
            <wp:effectExtent l="0" t="0" r="0" b="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图 3 受访者对海宁市社会发展的总体感受</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2</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“十三五”时期，海宁城市形象、经济发展、交通改善等方面具有较高的群众满意度。</w:t>
      </w:r>
      <w:r>
        <w:rPr>
          <w:rFonts w:hint="eastAsia" w:ascii="Times New Roman" w:hAnsi="Times New Roman" w:eastAsia="仿宋_GB2312" w:cs="Times New Roman"/>
          <w:kern w:val="0"/>
          <w:sz w:val="32"/>
          <w:szCs w:val="32"/>
        </w:rPr>
        <w:t>调查结果显示，民众普遍认为城市形象提升（5</w:t>
      </w:r>
      <w:r>
        <w:rPr>
          <w:rFonts w:ascii="Times New Roman" w:hAnsi="Times New Roman" w:eastAsia="仿宋_GB2312" w:cs="Times New Roman"/>
          <w:kern w:val="0"/>
          <w:sz w:val="32"/>
          <w:szCs w:val="32"/>
        </w:rPr>
        <w:t>6.1</w:t>
      </w:r>
      <w:r>
        <w:rPr>
          <w:rFonts w:hint="eastAsia" w:ascii="Times New Roman" w:hAnsi="Times New Roman" w:eastAsia="仿宋_GB2312" w:cs="Times New Roman"/>
          <w:kern w:val="0"/>
          <w:sz w:val="32"/>
          <w:szCs w:val="32"/>
        </w:rPr>
        <w:t>%）、经济发展水平提高（5</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）、交通出行便捷（4</w:t>
      </w:r>
      <w:r>
        <w:rPr>
          <w:rFonts w:ascii="Times New Roman" w:hAnsi="Times New Roman" w:eastAsia="仿宋_GB2312" w:cs="Times New Roman"/>
          <w:kern w:val="0"/>
          <w:sz w:val="32"/>
          <w:szCs w:val="32"/>
        </w:rPr>
        <w:t>5.0</w:t>
      </w:r>
      <w:r>
        <w:rPr>
          <w:rFonts w:hint="eastAsia" w:ascii="Times New Roman" w:hAnsi="Times New Roman" w:eastAsia="仿宋_GB2312" w:cs="Times New Roman"/>
          <w:kern w:val="0"/>
          <w:sz w:val="32"/>
          <w:szCs w:val="32"/>
        </w:rPr>
        <w:t>%）是海宁“十三五”时期取得的主要成就，对于医疗卫生水平（9</w:t>
      </w:r>
      <w:r>
        <w:rPr>
          <w:rFonts w:ascii="Times New Roman" w:hAnsi="Times New Roman" w:eastAsia="仿宋_GB2312" w:cs="Times New Roman"/>
          <w:kern w:val="0"/>
          <w:sz w:val="32"/>
          <w:szCs w:val="32"/>
        </w:rPr>
        <w:t>.4</w:t>
      </w:r>
      <w:r>
        <w:rPr>
          <w:rFonts w:hint="eastAsia" w:ascii="Times New Roman" w:hAnsi="Times New Roman" w:eastAsia="仿宋_GB2312" w:cs="Times New Roman"/>
          <w:kern w:val="0"/>
          <w:sz w:val="32"/>
          <w:szCs w:val="32"/>
        </w:rPr>
        <w:t>%）、文体旅游氛围（6</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%）、住房保障供给（5</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%）等领域满意度有待提升。</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114300" distR="114300">
            <wp:extent cx="4430395" cy="2362200"/>
            <wp:effectExtent l="0" t="0" r="8255" b="0"/>
            <wp:docPr id="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图 4 受访者认为海宁市“十三五”取得的</w:t>
      </w:r>
      <w:r>
        <w:rPr>
          <w:rFonts w:hint="eastAsia" w:ascii="Times New Roman" w:hAnsi="Times New Roman" w:eastAsia="黑体" w:cs="Times New Roman"/>
          <w:kern w:val="0"/>
          <w:sz w:val="28"/>
          <w:szCs w:val="28"/>
        </w:rPr>
        <w:t>主要成就</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textAlignment w:val="auto"/>
        <w:rPr>
          <w:color w:val="auto"/>
          <w:kern w:val="0"/>
          <w:szCs w:val="32"/>
          <w:shd w:val="clear" w:color="auto" w:fill="auto"/>
        </w:rPr>
      </w:pPr>
      <w:r>
        <w:rPr>
          <w:rFonts w:hint="eastAsia" w:eastAsia="楷体_GB2312"/>
          <w:b/>
          <w:bCs/>
        </w:rPr>
        <w:t>3</w:t>
      </w:r>
      <w:r>
        <w:rPr>
          <w:rFonts w:hint="eastAsia" w:eastAsia="楷体_GB2312"/>
          <w:b/>
          <w:bCs/>
          <w:lang w:val="en-US" w:eastAsia="zh-CN"/>
        </w:rPr>
        <w:t>.</w:t>
      </w:r>
      <w:r>
        <w:rPr>
          <w:rFonts w:hint="eastAsia" w:eastAsia="楷体_GB2312"/>
          <w:b/>
          <w:bCs/>
        </w:rPr>
        <w:t>人才吸引力不足、出行便捷性待提升、优质教育资源难求是目前海宁经济社会发展中面临的主要问题。</w:t>
      </w:r>
      <w:r>
        <w:rPr>
          <w:rFonts w:hint="eastAsia"/>
          <w:color w:val="auto"/>
          <w:kern w:val="0"/>
          <w:szCs w:val="32"/>
          <w:shd w:val="clear" w:color="auto" w:fill="auto"/>
        </w:rPr>
        <w:t>受访者中，4</w:t>
      </w:r>
      <w:r>
        <w:rPr>
          <w:color w:val="auto"/>
          <w:kern w:val="0"/>
          <w:szCs w:val="32"/>
          <w:shd w:val="clear" w:color="auto" w:fill="auto"/>
        </w:rPr>
        <w:t>1.1</w:t>
      </w:r>
      <w:r>
        <w:rPr>
          <w:rFonts w:hint="eastAsia"/>
          <w:color w:val="auto"/>
          <w:kern w:val="0"/>
          <w:szCs w:val="32"/>
          <w:shd w:val="clear" w:color="auto" w:fill="auto"/>
        </w:rPr>
        <w:t>%认为海宁对于中高端人才吸引力不强，3</w:t>
      </w:r>
      <w:r>
        <w:rPr>
          <w:color w:val="auto"/>
          <w:kern w:val="0"/>
          <w:szCs w:val="32"/>
          <w:shd w:val="clear" w:color="auto" w:fill="auto"/>
        </w:rPr>
        <w:t>5.2</w:t>
      </w:r>
      <w:r>
        <w:rPr>
          <w:rFonts w:hint="eastAsia"/>
          <w:color w:val="auto"/>
          <w:kern w:val="0"/>
          <w:szCs w:val="32"/>
          <w:shd w:val="clear" w:color="auto" w:fill="auto"/>
        </w:rPr>
        <w:t>%认为</w:t>
      </w:r>
      <w:r>
        <w:rPr>
          <w:rFonts w:hint="eastAsia"/>
          <w:color w:val="auto"/>
          <w:kern w:val="0"/>
          <w:szCs w:val="32"/>
          <w:shd w:val="clear" w:color="auto" w:fill="auto"/>
          <w:lang w:eastAsia="zh-CN"/>
        </w:rPr>
        <w:t>交通出行不便、拥堵</w:t>
      </w:r>
      <w:r>
        <w:rPr>
          <w:rFonts w:hint="eastAsia"/>
          <w:color w:val="auto"/>
          <w:kern w:val="0"/>
          <w:szCs w:val="32"/>
          <w:shd w:val="clear" w:color="auto" w:fill="auto"/>
        </w:rPr>
        <w:t>，3</w:t>
      </w:r>
      <w:r>
        <w:rPr>
          <w:color w:val="auto"/>
          <w:kern w:val="0"/>
          <w:szCs w:val="32"/>
          <w:shd w:val="clear" w:color="auto" w:fill="auto"/>
        </w:rPr>
        <w:t>3.0</w:t>
      </w:r>
      <w:r>
        <w:rPr>
          <w:rFonts w:hint="eastAsia"/>
          <w:color w:val="auto"/>
          <w:kern w:val="0"/>
          <w:szCs w:val="32"/>
          <w:shd w:val="clear" w:color="auto" w:fill="auto"/>
        </w:rPr>
        <w:t>%认为优质教育资源紧缺也是重要问题</w:t>
      </w:r>
      <w:r>
        <w:rPr>
          <w:color w:val="auto"/>
          <w:kern w:val="0"/>
          <w:szCs w:val="32"/>
          <w:shd w:val="clear" w:color="auto" w:fill="auto"/>
        </w:rPr>
        <w:t>。</w:t>
      </w:r>
      <w:r>
        <w:rPr>
          <w:rFonts w:hint="eastAsia"/>
          <w:color w:val="auto"/>
          <w:kern w:val="0"/>
          <w:szCs w:val="32"/>
          <w:shd w:val="clear" w:color="auto" w:fill="auto"/>
        </w:rPr>
        <w:t>企业服务缺乏、创新驱动力不足、民生服务供需紧张等问题也被提及。</w:t>
      </w:r>
    </w:p>
    <w:p>
      <w:pPr>
        <w:pStyle w:val="7"/>
        <w:ind w:firstLine="640"/>
        <w:jc w:val="center"/>
      </w:pPr>
      <w:r>
        <w:drawing>
          <wp:inline distT="0" distB="0" distL="0" distR="0">
            <wp:extent cx="4572000" cy="274320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图 5 受访者认为海宁市</w:t>
      </w:r>
      <w:r>
        <w:rPr>
          <w:rFonts w:hint="eastAsia" w:ascii="Times New Roman" w:hAnsi="Times New Roman" w:eastAsia="黑体" w:cs="Times New Roman"/>
          <w:kern w:val="0"/>
          <w:sz w:val="28"/>
          <w:szCs w:val="28"/>
        </w:rPr>
        <w:t>经济社会发展中存在的主要问题</w:t>
      </w:r>
    </w:p>
    <w:p>
      <w:pPr>
        <w:keepNext/>
        <w:keepLines/>
        <w:pageBreakBefore w:val="0"/>
        <w:widowControl/>
        <w:kinsoku/>
        <w:wordWrap/>
        <w:overflowPunct/>
        <w:topLinePunct w:val="0"/>
        <w:autoSpaceDE/>
        <w:autoSpaceDN/>
        <w:bidi w:val="0"/>
        <w:adjustRightInd/>
        <w:snapToGrid/>
        <w:spacing w:line="560" w:lineRule="exact"/>
        <w:ind w:firstLine="640"/>
        <w:jc w:val="left"/>
        <w:textAlignment w:val="auto"/>
        <w:outlineLvl w:val="1"/>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三、</w:t>
      </w:r>
      <w:r>
        <w:rPr>
          <w:rFonts w:hint="eastAsia" w:ascii="Times New Roman" w:hAnsi="Times New Roman" w:eastAsia="黑体" w:cs="Times New Roman"/>
          <w:bCs/>
          <w:kern w:val="0"/>
          <w:sz w:val="32"/>
          <w:szCs w:val="32"/>
        </w:rPr>
        <w:t>“十四五”海宁经济社会发展诉求</w:t>
      </w:r>
    </w:p>
    <w:p>
      <w:pPr>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4</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融杭品质新城、现代文明幸福城、国际化时尚潮城等描述较符合群众眼中的2025年海宁市发展愿景。</w:t>
      </w:r>
      <w:r>
        <w:rPr>
          <w:rFonts w:hint="eastAsia" w:ascii="Times New Roman" w:hAnsi="Times New Roman" w:eastAsia="仿宋_GB2312" w:cs="Times New Roman"/>
          <w:kern w:val="0"/>
          <w:sz w:val="32"/>
          <w:szCs w:val="32"/>
        </w:rPr>
        <w:t>调查结果显示，融杭品质新城（4</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%）、现代化文明幸福城（4</w:t>
      </w:r>
      <w:r>
        <w:rPr>
          <w:rFonts w:ascii="Times New Roman" w:hAnsi="Times New Roman" w:eastAsia="仿宋_GB2312" w:cs="Times New Roman"/>
          <w:kern w:val="0"/>
          <w:sz w:val="32"/>
          <w:szCs w:val="32"/>
        </w:rPr>
        <w:t>4.6</w:t>
      </w:r>
      <w:r>
        <w:rPr>
          <w:rFonts w:hint="eastAsia" w:ascii="Times New Roman" w:hAnsi="Times New Roman" w:eastAsia="仿宋_GB2312" w:cs="Times New Roman"/>
          <w:kern w:val="0"/>
          <w:sz w:val="32"/>
          <w:szCs w:val="32"/>
        </w:rPr>
        <w:t>%）、国际化时尚潮城（4</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%）等描述排名前三，杭州湾北翼创新高地、长三角质量型创新型制造强市、潮文化国际旅游目的地等也得到了3</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%以上的支持率。</w:t>
      </w:r>
    </w:p>
    <w:p>
      <w:pPr>
        <w:widowControl/>
        <w:spacing w:line="240" w:lineRule="auto"/>
        <w:ind w:firstLine="0" w:firstLineChars="0"/>
        <w:jc w:val="center"/>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drawing>
          <wp:inline distT="0" distB="0" distL="114300" distR="114300">
            <wp:extent cx="3707130" cy="6846570"/>
            <wp:effectExtent l="0" t="0" r="7620" b="11430"/>
            <wp:docPr id="22" name="图片 22" descr="未标题-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未标题-3"/>
                    <pic:cNvPicPr>
                      <a:picLocks noChangeAspect="true"/>
                    </pic:cNvPicPr>
                  </pic:nvPicPr>
                  <pic:blipFill>
                    <a:blip r:embed="rId17"/>
                    <a:stretch>
                      <a:fillRect/>
                    </a:stretch>
                  </pic:blipFill>
                  <pic:spPr>
                    <a:xfrm>
                      <a:off x="0" y="0"/>
                      <a:ext cx="3707130" cy="6846570"/>
                    </a:xfrm>
                    <a:prstGeom prst="rect">
                      <a:avLst/>
                    </a:prstGeom>
                  </pic:spPr>
                </pic:pic>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6 </w:t>
      </w:r>
      <w:r>
        <w:rPr>
          <w:rFonts w:hint="eastAsia" w:ascii="Times New Roman" w:hAnsi="Times New Roman" w:eastAsia="黑体" w:cs="Times New Roman"/>
          <w:kern w:val="0"/>
          <w:sz w:val="28"/>
          <w:szCs w:val="28"/>
        </w:rPr>
        <w:t>受访者对2</w:t>
      </w:r>
      <w:r>
        <w:rPr>
          <w:rFonts w:ascii="Times New Roman" w:hAnsi="Times New Roman" w:eastAsia="黑体" w:cs="Times New Roman"/>
          <w:kern w:val="0"/>
          <w:sz w:val="28"/>
          <w:szCs w:val="28"/>
        </w:rPr>
        <w:t>025</w:t>
      </w:r>
      <w:r>
        <w:rPr>
          <w:rFonts w:hint="eastAsia" w:ascii="Times New Roman" w:hAnsi="Times New Roman" w:eastAsia="黑体" w:cs="Times New Roman"/>
          <w:kern w:val="0"/>
          <w:sz w:val="28"/>
          <w:szCs w:val="28"/>
        </w:rPr>
        <w:t>年海宁市发展愿景的期待</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textAlignment w:val="auto"/>
      </w:pPr>
      <w:r>
        <w:rPr>
          <w:rFonts w:hint="eastAsia" w:eastAsia="楷体_GB2312"/>
          <w:b/>
          <w:bCs/>
        </w:rPr>
        <w:t>5</w:t>
      </w:r>
      <w:r>
        <w:rPr>
          <w:rFonts w:hint="eastAsia" w:eastAsia="楷体_GB2312"/>
          <w:b/>
          <w:bCs/>
          <w:lang w:val="en-US" w:eastAsia="zh-CN"/>
        </w:rPr>
        <w:t>.</w:t>
      </w:r>
      <w:r>
        <w:rPr>
          <w:rFonts w:hint="eastAsia" w:eastAsia="楷体_GB2312"/>
          <w:b/>
          <w:bCs/>
        </w:rPr>
        <w:t>一流公共服务配套、加强融杭接沪、完善交通基础建设，或可提升海宁市未来发展品质。</w:t>
      </w:r>
      <w:r>
        <w:rPr>
          <w:rFonts w:hint="eastAsia"/>
          <w:kern w:val="0"/>
          <w:szCs w:val="32"/>
        </w:rPr>
        <w:t>调查结果显示，分别有54.7%、53.9%、46.1%的受访者认为通过建设一流公共服务配套（学校、医院、文体、酒店等）、加强与杭州、上海等大都市融合联动、高标准开展交通基础设施建设或可提升海宁城市品质，也有30%以上的受访者认为海宁亟需加强规划管理和空间用地保障、大力集聚一流人才和创新团队来推动城市发展。</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114300" distR="114300">
            <wp:extent cx="4686300" cy="2819400"/>
            <wp:effectExtent l="0" t="0" r="0" b="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7 </w:t>
      </w:r>
      <w:r>
        <w:rPr>
          <w:rFonts w:hint="eastAsia" w:ascii="Times New Roman" w:hAnsi="Times New Roman" w:eastAsia="黑体" w:cs="Times New Roman"/>
          <w:kern w:val="0"/>
          <w:sz w:val="28"/>
          <w:szCs w:val="28"/>
        </w:rPr>
        <w:t>受访者认为海宁市未来发展应该努力的方向</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6</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科技创新方面，搭建产学研合作平台、加大科技服务支撑和提升创新补贴等最</w:t>
      </w:r>
      <w:r>
        <w:rPr>
          <w:rFonts w:hint="eastAsia" w:ascii="Times New Roman" w:hAnsi="Times New Roman" w:eastAsia="楷体_GB2312" w:cs="Times New Roman"/>
          <w:b/>
          <w:bCs/>
          <w:kern w:val="0"/>
          <w:sz w:val="32"/>
          <w:szCs w:val="32"/>
          <w:lang w:eastAsia="zh-CN"/>
        </w:rPr>
        <w:t>受</w:t>
      </w:r>
      <w:r>
        <w:rPr>
          <w:rFonts w:hint="eastAsia" w:ascii="Times New Roman" w:hAnsi="Times New Roman" w:eastAsia="楷体_GB2312" w:cs="Times New Roman"/>
          <w:b/>
          <w:bCs/>
          <w:kern w:val="0"/>
          <w:sz w:val="32"/>
          <w:szCs w:val="32"/>
        </w:rPr>
        <w:t>关注。</w:t>
      </w:r>
      <w:r>
        <w:rPr>
          <w:rFonts w:hint="eastAsia" w:ascii="Times New Roman" w:hAnsi="Times New Roman" w:eastAsia="仿宋_GB2312" w:cs="Times New Roman"/>
          <w:kern w:val="0"/>
          <w:sz w:val="32"/>
          <w:szCs w:val="32"/>
        </w:rPr>
        <w:t>调查结果显示，</w:t>
      </w:r>
      <w:r>
        <w:rPr>
          <w:rFonts w:ascii="Times New Roman" w:hAnsi="Times New Roman" w:eastAsia="仿宋_GB2312" w:cs="Times New Roman"/>
          <w:kern w:val="0"/>
          <w:sz w:val="32"/>
          <w:szCs w:val="32"/>
        </w:rPr>
        <w:t>59.</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%的</w:t>
      </w:r>
      <w:r>
        <w:rPr>
          <w:rFonts w:hint="eastAsia" w:ascii="Times New Roman" w:hAnsi="Times New Roman" w:eastAsia="仿宋_GB2312" w:cs="Times New Roman"/>
          <w:kern w:val="0"/>
          <w:sz w:val="32"/>
          <w:szCs w:val="32"/>
        </w:rPr>
        <w:t>受访者</w:t>
      </w:r>
      <w:r>
        <w:rPr>
          <w:rFonts w:ascii="Times New Roman" w:hAnsi="Times New Roman" w:eastAsia="仿宋_GB2312" w:cs="Times New Roman"/>
          <w:kern w:val="0"/>
          <w:sz w:val="32"/>
          <w:szCs w:val="32"/>
        </w:rPr>
        <w:t>认为</w:t>
      </w:r>
      <w:r>
        <w:rPr>
          <w:rFonts w:hint="eastAsia" w:ascii="Times New Roman" w:hAnsi="Times New Roman" w:eastAsia="仿宋_GB2312" w:cs="Times New Roman"/>
          <w:kern w:val="0"/>
          <w:sz w:val="32"/>
          <w:szCs w:val="32"/>
        </w:rPr>
        <w:t>海宁需搭建企业、高校、科研机构开展科技合作的平台以优化创新支撑，5</w:t>
      </w:r>
      <w:r>
        <w:rPr>
          <w:rFonts w:ascii="Times New Roman" w:hAnsi="Times New Roman" w:eastAsia="仿宋_GB2312" w:cs="Times New Roman"/>
          <w:kern w:val="0"/>
          <w:sz w:val="32"/>
          <w:szCs w:val="32"/>
        </w:rPr>
        <w:t>1.4</w:t>
      </w:r>
      <w:r>
        <w:rPr>
          <w:rFonts w:hint="eastAsia" w:ascii="Times New Roman" w:hAnsi="Times New Roman" w:eastAsia="仿宋_GB2312" w:cs="Times New Roman"/>
          <w:kern w:val="0"/>
          <w:sz w:val="32"/>
          <w:szCs w:val="32"/>
        </w:rPr>
        <w:t>%的认为要加大科研服务、科研空间、创新创业载体平台供给，5</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%的表示海宁需在科技创新、成果转化、技术技能人才的政策补贴上加大力度。</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114300" distR="114300">
            <wp:extent cx="4904740" cy="2790825"/>
            <wp:effectExtent l="0" t="0" r="10160" b="9525"/>
            <wp:docPr id="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8 </w:t>
      </w:r>
      <w:r>
        <w:rPr>
          <w:rFonts w:hint="eastAsia" w:ascii="Times New Roman" w:hAnsi="Times New Roman" w:eastAsia="黑体" w:cs="Times New Roman"/>
          <w:kern w:val="0"/>
          <w:sz w:val="28"/>
          <w:szCs w:val="28"/>
        </w:rPr>
        <w:t>受访者认为海宁科技创新发展的重点</w:t>
      </w:r>
    </w:p>
    <w:p>
      <w:pPr>
        <w:keepNext w:val="0"/>
        <w:keepLines w:val="0"/>
        <w:pageBreakBefore w:val="0"/>
        <w:widowControl/>
        <w:kinsoku/>
        <w:wordWrap w:val="0"/>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bookmarkStart w:id="0" w:name="_Hlk21614613"/>
      <w:r>
        <w:rPr>
          <w:rFonts w:hint="eastAsia" w:ascii="Times New Roman" w:hAnsi="Times New Roman" w:eastAsia="楷体_GB2312" w:cs="Times New Roman"/>
          <w:b/>
          <w:bCs/>
          <w:kern w:val="0"/>
          <w:sz w:val="32"/>
          <w:szCs w:val="32"/>
        </w:rPr>
        <w:t>7</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人才吸引方面，提高平台能级、加大人才奖励以及完善人才评价体系和薪酬体系得到了较高的支持。</w:t>
      </w:r>
      <w:r>
        <w:rPr>
          <w:rFonts w:hint="eastAsia" w:ascii="Times New Roman" w:hAnsi="Times New Roman" w:eastAsia="仿宋_GB2312" w:cs="Times New Roman"/>
          <w:kern w:val="0"/>
          <w:sz w:val="32"/>
          <w:szCs w:val="32"/>
        </w:rPr>
        <w:t>调查结果显示，5</w:t>
      </w:r>
      <w:r>
        <w:rPr>
          <w:rFonts w:ascii="Times New Roman" w:hAnsi="Times New Roman" w:eastAsia="仿宋_GB2312" w:cs="Times New Roman"/>
          <w:kern w:val="0"/>
          <w:sz w:val="32"/>
          <w:szCs w:val="32"/>
        </w:rPr>
        <w:t>4.</w:t>
      </w:r>
      <w:r>
        <w:rPr>
          <w:rFonts w:hint="eastAsia" w:ascii="Times New Roman" w:hAnsi="Times New Roman" w:eastAsia="仿宋_GB2312" w:cs="Times New Roman"/>
          <w:kern w:val="0"/>
          <w:sz w:val="32"/>
          <w:szCs w:val="32"/>
        </w:rPr>
        <w:t>1%的受访者认为科研院所、高新技术企业可提供更有吸引力的平台和岗位以吸引高素质人才，5</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5%的认为需加大人才住房补贴、落户奖励等力度，4</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0%的认为海宁需探索与国际接轨的人才评价体系和薪酬体系。另外，部分受访者也支持提高针对人才的公共服务供给水平和设立针对人才的荣誉表彰等。</w:t>
      </w:r>
    </w:p>
    <w:bookmarkEnd w:id="0"/>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114300" distR="114300">
            <wp:extent cx="4420235" cy="2543810"/>
            <wp:effectExtent l="0" t="0" r="18415" b="8890"/>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9 </w:t>
      </w:r>
      <w:r>
        <w:rPr>
          <w:rFonts w:hint="eastAsia" w:ascii="Times New Roman" w:hAnsi="Times New Roman" w:eastAsia="黑体" w:cs="Times New Roman"/>
          <w:kern w:val="0"/>
          <w:sz w:val="28"/>
          <w:szCs w:val="28"/>
        </w:rPr>
        <w:t>受访者认为海宁市提升人才吸引力的重点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bookmarkStart w:id="1" w:name="_Hlk21614698"/>
      <w:r>
        <w:rPr>
          <w:rFonts w:hint="eastAsia" w:ascii="Times New Roman" w:hAnsi="Times New Roman" w:eastAsia="楷体_GB2312" w:cs="Times New Roman"/>
          <w:b/>
          <w:bCs/>
          <w:kern w:val="0"/>
          <w:sz w:val="32"/>
          <w:szCs w:val="32"/>
        </w:rPr>
        <w:t>8</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产业升级方面，培育以泛半导体为代表的新兴产业，加快皮革、经编、家纺等“老三篇”转型升级最为关注。</w:t>
      </w:r>
      <w:r>
        <w:rPr>
          <w:rFonts w:hint="eastAsia" w:ascii="Times New Roman" w:hAnsi="Times New Roman" w:eastAsia="仿宋_GB2312" w:cs="Times New Roman"/>
          <w:kern w:val="0"/>
          <w:sz w:val="32"/>
          <w:szCs w:val="32"/>
        </w:rPr>
        <w:t>调查结果显示，5</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5%的受访者认为海宁应加快泛半导体等产业链招商引资力度，培育布局现代产业集群；4</w:t>
      </w:r>
      <w:r>
        <w:rPr>
          <w:rFonts w:ascii="Times New Roman" w:hAnsi="Times New Roman" w:eastAsia="仿宋_GB2312" w:cs="Times New Roman"/>
          <w:kern w:val="0"/>
          <w:sz w:val="32"/>
          <w:szCs w:val="32"/>
        </w:rPr>
        <w:t>4.</w:t>
      </w:r>
      <w:r>
        <w:rPr>
          <w:rFonts w:hint="eastAsia" w:ascii="Times New Roman" w:hAnsi="Times New Roman" w:eastAsia="仿宋_GB2312" w:cs="Times New Roman"/>
          <w:kern w:val="0"/>
          <w:sz w:val="32"/>
          <w:szCs w:val="32"/>
        </w:rPr>
        <w:t>8%的认为需推动皮革、经编、家纺等时尚产业向营销、设计等产业链两端延伸。加大对中小企业的支持，尤其保证创新型产业用地用房供给、人才引进和招工用工支持，呼声也较高。</w:t>
      </w:r>
    </w:p>
    <w:bookmarkEnd w:id="1"/>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0" distR="0">
            <wp:extent cx="4484370" cy="2496185"/>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10 </w:t>
      </w:r>
      <w:r>
        <w:rPr>
          <w:rFonts w:hint="eastAsia" w:ascii="Times New Roman" w:hAnsi="Times New Roman" w:eastAsia="黑体" w:cs="Times New Roman"/>
          <w:kern w:val="0"/>
          <w:sz w:val="28"/>
          <w:szCs w:val="28"/>
        </w:rPr>
        <w:t>受访者认为海宁市产业发展的重点</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rPr>
      </w:pPr>
      <w:r>
        <w:rPr>
          <w:rFonts w:hint="eastAsia" w:eastAsia="楷体_GB2312"/>
          <w:b/>
          <w:bCs/>
        </w:rPr>
        <w:t>9</w:t>
      </w:r>
      <w:r>
        <w:rPr>
          <w:rFonts w:hint="eastAsia" w:eastAsia="楷体_GB2312"/>
          <w:b/>
          <w:bCs/>
          <w:lang w:val="en-US" w:eastAsia="zh-CN"/>
        </w:rPr>
        <w:t>.</w:t>
      </w:r>
      <w:r>
        <w:rPr>
          <w:rFonts w:hint="eastAsia" w:eastAsia="楷体_GB2312"/>
          <w:b/>
          <w:bCs/>
        </w:rPr>
        <w:t>城乡建设方面，打造城市地标、优化交通布局、增加商贸配套设施等得到较多关注。</w:t>
      </w:r>
      <w:r>
        <w:rPr>
          <w:rFonts w:hint="eastAsia"/>
        </w:rPr>
        <w:t>调查结果显示，5</w:t>
      </w:r>
      <w:r>
        <w:t>2.4</w:t>
      </w:r>
      <w:r>
        <w:rPr>
          <w:rFonts w:hint="eastAsia"/>
        </w:rPr>
        <w:t>%的受访者认为海宁需优化城市整体格局，加快打造城市地标，4</w:t>
      </w:r>
      <w:r>
        <w:t>9.9</w:t>
      </w:r>
      <w:r>
        <w:rPr>
          <w:rFonts w:hint="eastAsia"/>
        </w:rPr>
        <w:t>%的认为需加快轨道、城市干道建设，4</w:t>
      </w:r>
      <w:r>
        <w:t>1.</w:t>
      </w:r>
      <w:r>
        <w:rPr>
          <w:rFonts w:hint="eastAsia"/>
        </w:rPr>
        <w:t>0%的认为需增加商场、公园等生活配套和休闲设施。</w:t>
      </w:r>
    </w:p>
    <w:p>
      <w:pPr>
        <w:rPr>
          <w:rFonts w:hint="eastAsia"/>
        </w:rPr>
      </w:pPr>
      <w:r>
        <w:rPr>
          <w:rFonts w:hint="eastAsia"/>
        </w:rPr>
        <w:br w:type="page"/>
      </w:r>
    </w:p>
    <w:p>
      <w:pPr>
        <w:pStyle w:val="7"/>
        <w:keepNext w:val="0"/>
        <w:keepLines w:val="0"/>
        <w:pageBreakBefore w:val="0"/>
        <w:widowControl w:val="0"/>
        <w:kinsoku/>
        <w:wordWrap/>
        <w:overflowPunct/>
        <w:topLinePunct w:val="0"/>
        <w:autoSpaceDE/>
        <w:autoSpaceDN/>
        <w:bidi w:val="0"/>
        <w:adjustRightInd/>
        <w:snapToGrid/>
        <w:spacing w:line="240" w:lineRule="auto"/>
        <w:ind w:firstLine="640"/>
        <w:jc w:val="center"/>
        <w:textAlignment w:val="auto"/>
        <w:rPr>
          <w:rFonts w:ascii="Times New Roman" w:hAnsi="Times New Roman" w:eastAsia="黑体" w:cs="Times New Roman"/>
          <w:kern w:val="0"/>
          <w:sz w:val="28"/>
          <w:szCs w:val="28"/>
        </w:rPr>
      </w:pPr>
      <w:r>
        <w:drawing>
          <wp:anchor distT="0" distB="0" distL="114300" distR="114300" simplePos="0" relativeHeight="251668480" behindDoc="0" locked="0" layoutInCell="1" allowOverlap="1">
            <wp:simplePos x="0" y="0"/>
            <wp:positionH relativeFrom="margin">
              <wp:posOffset>494665</wp:posOffset>
            </wp:positionH>
            <wp:positionV relativeFrom="paragraph">
              <wp:posOffset>85090</wp:posOffset>
            </wp:positionV>
            <wp:extent cx="4572000" cy="2743200"/>
            <wp:effectExtent l="0" t="0" r="0" b="0"/>
            <wp:wrapTopAndBottom/>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Times New Roman" w:hAnsi="Times New Roman" w:eastAsia="黑体" w:cs="Times New Roman"/>
          <w:kern w:val="0"/>
          <w:sz w:val="28"/>
          <w:szCs w:val="28"/>
        </w:rPr>
        <w:t xml:space="preserve">图 11 </w:t>
      </w:r>
      <w:r>
        <w:rPr>
          <w:rFonts w:hint="eastAsia" w:ascii="Times New Roman" w:hAnsi="Times New Roman" w:eastAsia="黑体" w:cs="Times New Roman"/>
          <w:kern w:val="0"/>
          <w:sz w:val="28"/>
          <w:szCs w:val="28"/>
        </w:rPr>
        <w:t>受访者认为海宁市推动城乡建设发展的重点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1</w:t>
      </w:r>
      <w:r>
        <w:rPr>
          <w:rFonts w:ascii="Times New Roman" w:hAnsi="Times New Roman" w:eastAsia="楷体_GB2312" w:cs="Times New Roman"/>
          <w:b/>
          <w:bCs/>
          <w:kern w:val="0"/>
          <w:sz w:val="32"/>
          <w:szCs w:val="32"/>
        </w:rPr>
        <w:t>0</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就业保障方面，拓宽就业渠道、协同线上线下招聘、加大失业帮扶等得到最受关注。</w:t>
      </w:r>
      <w:r>
        <w:rPr>
          <w:rFonts w:hint="eastAsia" w:ascii="Times New Roman" w:hAnsi="Times New Roman" w:eastAsia="仿宋_GB2312" w:cs="Times New Roman"/>
          <w:kern w:val="0"/>
          <w:sz w:val="32"/>
          <w:szCs w:val="32"/>
        </w:rPr>
        <w:t>调查结果显示，6</w:t>
      </w:r>
      <w:r>
        <w:rPr>
          <w:rFonts w:ascii="Times New Roman" w:hAnsi="Times New Roman" w:eastAsia="仿宋_GB2312" w:cs="Times New Roman"/>
          <w:kern w:val="0"/>
          <w:sz w:val="32"/>
          <w:szCs w:val="32"/>
        </w:rPr>
        <w:t>5.7</w:t>
      </w:r>
      <w:r>
        <w:rPr>
          <w:rFonts w:hint="eastAsia" w:ascii="Times New Roman" w:hAnsi="Times New Roman" w:eastAsia="仿宋_GB2312" w:cs="Times New Roman"/>
          <w:kern w:val="0"/>
          <w:sz w:val="32"/>
          <w:szCs w:val="32"/>
        </w:rPr>
        <w:t>%的受访者认为政府和企业需稳定就业岗位，加大优质就业岗位多渠道供给，5</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%的认为应联合企业、高校、中介机构等多组织线上线下招聘会，4</w:t>
      </w:r>
      <w:r>
        <w:rPr>
          <w:rFonts w:ascii="Times New Roman" w:hAnsi="Times New Roman" w:eastAsia="仿宋_GB2312" w:cs="Times New Roman"/>
          <w:kern w:val="0"/>
          <w:sz w:val="32"/>
          <w:szCs w:val="32"/>
        </w:rPr>
        <w:t>7.0</w:t>
      </w:r>
      <w:r>
        <w:rPr>
          <w:rFonts w:hint="eastAsia" w:ascii="Times New Roman" w:hAnsi="Times New Roman" w:eastAsia="仿宋_GB2312" w:cs="Times New Roman"/>
          <w:kern w:val="0"/>
          <w:sz w:val="32"/>
          <w:szCs w:val="32"/>
        </w:rPr>
        <w:t>%的认为需加大对失业及就业困难人群的帮扶。</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114300" distR="114300">
            <wp:extent cx="4572000" cy="2743200"/>
            <wp:effectExtent l="0" t="0" r="0" b="0"/>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12 </w:t>
      </w:r>
      <w:r>
        <w:rPr>
          <w:rFonts w:hint="eastAsia" w:ascii="Times New Roman" w:hAnsi="Times New Roman" w:eastAsia="黑体" w:cs="Times New Roman"/>
          <w:kern w:val="0"/>
          <w:sz w:val="28"/>
          <w:szCs w:val="28"/>
        </w:rPr>
        <w:t>受访者认为海宁市促进就业创业的重点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1</w:t>
      </w:r>
      <w:r>
        <w:rPr>
          <w:rFonts w:ascii="Times New Roman" w:hAnsi="Times New Roman" w:eastAsia="楷体_GB2312" w:cs="Times New Roman"/>
          <w:b/>
          <w:bCs/>
          <w:kern w:val="0"/>
          <w:sz w:val="32"/>
          <w:szCs w:val="32"/>
        </w:rPr>
        <w:t>1</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教育事业方面，一流大学、若干名校、优质民办是民众关注的教育品质提升点。</w:t>
      </w:r>
      <w:r>
        <w:rPr>
          <w:rFonts w:hint="eastAsia" w:ascii="Times New Roman" w:hAnsi="Times New Roman" w:eastAsia="仿宋_GB2312" w:cs="Times New Roman"/>
          <w:kern w:val="0"/>
          <w:sz w:val="32"/>
          <w:szCs w:val="32"/>
        </w:rPr>
        <w:t>调查结果显示，40.9%的受访者认为海宁需继续引进一流大学，3</w:t>
      </w:r>
      <w:r>
        <w:rPr>
          <w:rFonts w:ascii="Times New Roman" w:hAnsi="Times New Roman" w:eastAsia="仿宋_GB2312" w:cs="Times New Roman"/>
          <w:kern w:val="0"/>
          <w:sz w:val="32"/>
          <w:szCs w:val="32"/>
        </w:rPr>
        <w:t>6.4</w:t>
      </w:r>
      <w:r>
        <w:rPr>
          <w:rFonts w:hint="eastAsia" w:ascii="Times New Roman" w:hAnsi="Times New Roman" w:eastAsia="仿宋_GB2312" w:cs="Times New Roman"/>
          <w:kern w:val="0"/>
          <w:sz w:val="32"/>
          <w:szCs w:val="32"/>
        </w:rPr>
        <w:t>%的认为海宁需提升教学质量、打造若干所名校。3</w:t>
      </w:r>
      <w:r>
        <w:rPr>
          <w:rFonts w:ascii="Times New Roman" w:hAnsi="Times New Roman" w:eastAsia="仿宋_GB2312" w:cs="Times New Roman"/>
          <w:kern w:val="0"/>
          <w:sz w:val="32"/>
          <w:szCs w:val="32"/>
        </w:rPr>
        <w:t>6.2</w:t>
      </w:r>
      <w:r>
        <w:rPr>
          <w:rFonts w:hint="eastAsia" w:ascii="Times New Roman" w:hAnsi="Times New Roman" w:eastAsia="仿宋_GB2312" w:cs="Times New Roman"/>
          <w:kern w:val="0"/>
          <w:sz w:val="32"/>
          <w:szCs w:val="32"/>
        </w:rPr>
        <w:t>%的表示需加快吸引沪杭优质民办学校来海宁发展，加大当地优质教育资源的供给水平。</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114300" distR="114300">
            <wp:extent cx="4572000" cy="2743200"/>
            <wp:effectExtent l="0" t="0" r="0" b="0"/>
            <wp:docPr id="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13 </w:t>
      </w:r>
      <w:r>
        <w:rPr>
          <w:rFonts w:hint="eastAsia" w:ascii="Times New Roman" w:hAnsi="Times New Roman" w:eastAsia="黑体" w:cs="Times New Roman"/>
          <w:kern w:val="0"/>
          <w:sz w:val="28"/>
          <w:szCs w:val="28"/>
        </w:rPr>
        <w:t>受访者认为</w:t>
      </w:r>
      <w:r>
        <w:rPr>
          <w:rFonts w:ascii="Times New Roman" w:hAnsi="Times New Roman" w:eastAsia="黑体" w:cs="Times New Roman"/>
          <w:kern w:val="0"/>
          <w:sz w:val="28"/>
          <w:szCs w:val="28"/>
        </w:rPr>
        <w:t>海宁市</w:t>
      </w:r>
      <w:r>
        <w:rPr>
          <w:rFonts w:hint="eastAsia" w:ascii="Times New Roman" w:hAnsi="Times New Roman" w:eastAsia="黑体" w:cs="Times New Roman"/>
          <w:kern w:val="0"/>
          <w:sz w:val="28"/>
          <w:szCs w:val="28"/>
        </w:rPr>
        <w:t>促进教育事业发展的重点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1</w:t>
      </w:r>
      <w:r>
        <w:rPr>
          <w:rFonts w:ascii="Times New Roman" w:hAnsi="Times New Roman" w:eastAsia="楷体_GB2312" w:cs="Times New Roman"/>
          <w:b/>
          <w:bCs/>
          <w:kern w:val="0"/>
          <w:sz w:val="32"/>
          <w:szCs w:val="32"/>
        </w:rPr>
        <w:t>2</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医疗卫生方面，基层医疗服务、高水平综合医院、名医团队是民众关注的医疗健康领域。</w:t>
      </w:r>
      <w:r>
        <w:rPr>
          <w:rFonts w:hint="eastAsia" w:ascii="Times New Roman" w:hAnsi="Times New Roman" w:eastAsia="仿宋_GB2312" w:cs="Times New Roman"/>
          <w:kern w:val="0"/>
          <w:sz w:val="32"/>
          <w:szCs w:val="32"/>
        </w:rPr>
        <w:t>调查结果显示，5</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.5%的受访者认为海宁需提高基层医疗卫生服务能力和服务范围，4</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.0%的认为需建设更多的高水平综合性医院，4</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%以上的认为还需大力引进名医及名医团队，完善公共卫生和重大疾病防控体制机制，加快建设医疗美容、口腔、眼科、健康检测等专科医院。</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0" distR="0">
            <wp:extent cx="4572000" cy="2743200"/>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14 </w:t>
      </w:r>
      <w:r>
        <w:rPr>
          <w:rFonts w:hint="eastAsia" w:ascii="Times New Roman" w:hAnsi="Times New Roman" w:eastAsia="黑体" w:cs="Times New Roman"/>
          <w:kern w:val="0"/>
          <w:sz w:val="28"/>
          <w:szCs w:val="28"/>
        </w:rPr>
        <w:t>受访者认为海宁市医疗卫生需改善的重点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1</w:t>
      </w:r>
      <w:r>
        <w:rPr>
          <w:rFonts w:ascii="Times New Roman" w:hAnsi="Times New Roman" w:eastAsia="楷体_GB2312" w:cs="Times New Roman"/>
          <w:b/>
          <w:bCs/>
          <w:kern w:val="0"/>
          <w:sz w:val="32"/>
          <w:szCs w:val="32"/>
        </w:rPr>
        <w:t>3</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住房保障方面，规范房地产市场秩序的呼声最为强烈。</w:t>
      </w:r>
      <w:r>
        <w:rPr>
          <w:rFonts w:hint="eastAsia" w:ascii="Times New Roman" w:hAnsi="Times New Roman" w:eastAsia="仿宋_GB2312" w:cs="Times New Roman"/>
          <w:kern w:val="0"/>
          <w:sz w:val="32"/>
          <w:szCs w:val="32"/>
        </w:rPr>
        <w:t>调查结果显示，6</w:t>
      </w:r>
      <w:r>
        <w:rPr>
          <w:rFonts w:ascii="Times New Roman" w:hAnsi="Times New Roman" w:eastAsia="仿宋_GB2312" w:cs="Times New Roman"/>
          <w:kern w:val="0"/>
          <w:sz w:val="32"/>
          <w:szCs w:val="32"/>
        </w:rPr>
        <w:t>4.</w:t>
      </w:r>
      <w:r>
        <w:rPr>
          <w:rFonts w:hint="eastAsia" w:ascii="Times New Roman" w:hAnsi="Times New Roman" w:eastAsia="仿宋_GB2312" w:cs="Times New Roman"/>
          <w:kern w:val="0"/>
          <w:sz w:val="32"/>
          <w:szCs w:val="32"/>
        </w:rPr>
        <w:t>0%居民认为当前海宁需规范房地产市场秩序以实现“房住不炒”。3</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%以上的认为需增加国际社区、未来社区、高品质住宅等供给。</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0" distR="0">
            <wp:extent cx="4572000" cy="274320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15 </w:t>
      </w:r>
      <w:r>
        <w:rPr>
          <w:rFonts w:hint="eastAsia" w:ascii="Times New Roman" w:hAnsi="Times New Roman" w:eastAsia="黑体" w:cs="Times New Roman"/>
          <w:kern w:val="0"/>
          <w:sz w:val="28"/>
          <w:szCs w:val="28"/>
        </w:rPr>
        <w:t>受访者认为海宁市住房保障需改进的重点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1</w:t>
      </w:r>
      <w:r>
        <w:rPr>
          <w:rFonts w:ascii="Times New Roman" w:hAnsi="Times New Roman" w:eastAsia="楷体_GB2312" w:cs="Times New Roman"/>
          <w:b/>
          <w:bCs/>
          <w:kern w:val="0"/>
          <w:sz w:val="32"/>
          <w:szCs w:val="32"/>
        </w:rPr>
        <w:t>4</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交通发展方面，强化与沪杭都市圈多维联动是当前关注最多的。</w:t>
      </w:r>
      <w:r>
        <w:rPr>
          <w:rFonts w:hint="eastAsia" w:ascii="Times New Roman" w:hAnsi="Times New Roman" w:eastAsia="仿宋_GB2312" w:cs="Times New Roman"/>
          <w:kern w:val="0"/>
          <w:sz w:val="32"/>
          <w:szCs w:val="32"/>
        </w:rPr>
        <w:t>调查数据显示，5</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2%的受访者认为海宁应加快建设杭海城际铁路接驳线，提升轨道交通服务范围，51.9%的认为需积极争取在海宁市区设立高铁站，50.1%的认为需规划更多的高速路、快速路通往上海、杭州、嘉兴市区和萧山机场等地。</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114300" distR="114300">
            <wp:extent cx="4572000" cy="2743200"/>
            <wp:effectExtent l="0" t="0" r="0" b="0"/>
            <wp:docPr id="10"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16 </w:t>
      </w:r>
      <w:r>
        <w:rPr>
          <w:rFonts w:hint="eastAsia" w:ascii="Times New Roman" w:hAnsi="Times New Roman" w:eastAsia="黑体" w:cs="Times New Roman"/>
          <w:kern w:val="0"/>
          <w:sz w:val="28"/>
          <w:szCs w:val="28"/>
        </w:rPr>
        <w:t>受访者对海宁市交通发展的诉求</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textAlignment w:val="auto"/>
      </w:pPr>
      <w:r>
        <w:rPr>
          <w:rFonts w:hint="eastAsia" w:eastAsia="楷体_GB2312"/>
          <w:b/>
          <w:bCs/>
        </w:rPr>
        <w:t>1</w:t>
      </w:r>
      <w:r>
        <w:rPr>
          <w:rFonts w:eastAsia="楷体_GB2312"/>
          <w:b/>
          <w:bCs/>
        </w:rPr>
        <w:t>5</w:t>
      </w:r>
      <w:r>
        <w:rPr>
          <w:rFonts w:hint="eastAsia" w:eastAsia="楷体_GB2312"/>
          <w:b/>
          <w:bCs/>
          <w:lang w:val="en-US" w:eastAsia="zh-CN"/>
        </w:rPr>
        <w:t>.</w:t>
      </w:r>
      <w:r>
        <w:rPr>
          <w:rFonts w:hint="eastAsia" w:eastAsia="楷体_GB2312"/>
          <w:b/>
          <w:bCs/>
        </w:rPr>
        <w:t>文体旅游方面，优化文体设施布局，打造海宁特色文旅产品是最为关注的。</w:t>
      </w:r>
      <w:r>
        <w:rPr>
          <w:rFonts w:hint="eastAsia"/>
          <w:kern w:val="0"/>
          <w:szCs w:val="32"/>
        </w:rPr>
        <w:t>调查数据显示，</w:t>
      </w:r>
      <w:r>
        <w:rPr>
          <w:rFonts w:hint="eastAsia"/>
        </w:rPr>
        <w:t xml:space="preserve"> </w:t>
      </w:r>
      <w:r>
        <w:t>51.5</w:t>
      </w:r>
      <w:r>
        <w:rPr>
          <w:rFonts w:hint="eastAsia"/>
        </w:rPr>
        <w:t>%的受访者认为需优化公共文体设施，加快打造“十分钟文化服务圈”，44.6%的认为需打造生态、历史文化、农旅、工业、观潮类海宁特色的旅游项目。部分受访者认为，需加快海宁博物馆改造提升，传承皮影戏、灯彩等传统文化活动。</w:t>
      </w:r>
    </w:p>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0" distR="0">
            <wp:extent cx="4572000" cy="2743200"/>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bookmarkStart w:id="2" w:name="_Hlk21615030"/>
      <w:r>
        <w:rPr>
          <w:rFonts w:ascii="Times New Roman" w:hAnsi="Times New Roman" w:eastAsia="黑体" w:cs="Times New Roman"/>
          <w:kern w:val="0"/>
          <w:sz w:val="28"/>
          <w:szCs w:val="28"/>
        </w:rPr>
        <w:t xml:space="preserve">图 17 </w:t>
      </w:r>
      <w:r>
        <w:rPr>
          <w:rFonts w:hint="eastAsia" w:ascii="Times New Roman" w:hAnsi="Times New Roman" w:eastAsia="黑体" w:cs="Times New Roman"/>
          <w:kern w:val="0"/>
          <w:sz w:val="28"/>
          <w:szCs w:val="28"/>
        </w:rPr>
        <w:t>受访者认为海宁市文体旅游应发展的重点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1</w:t>
      </w:r>
      <w:r>
        <w:rPr>
          <w:rFonts w:ascii="Times New Roman" w:hAnsi="Times New Roman" w:eastAsia="楷体_GB2312" w:cs="Times New Roman"/>
          <w:b/>
          <w:bCs/>
          <w:kern w:val="0"/>
          <w:sz w:val="32"/>
          <w:szCs w:val="32"/>
        </w:rPr>
        <w:t>6</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基层治理方面，信息化智慧化现代化社会治理体系是目前最大的诉求。</w:t>
      </w:r>
      <w:r>
        <w:rPr>
          <w:rFonts w:hint="eastAsia" w:ascii="Times New Roman" w:hAnsi="Times New Roman" w:eastAsia="仿宋_GB2312" w:cs="Times New Roman"/>
          <w:kern w:val="0"/>
          <w:sz w:val="32"/>
          <w:szCs w:val="32"/>
        </w:rPr>
        <w:t>调查数据显示，</w:t>
      </w:r>
      <w:r>
        <w:rPr>
          <w:rFonts w:ascii="Times New Roman" w:hAnsi="Times New Roman" w:eastAsia="仿宋_GB2312" w:cs="Times New Roman"/>
          <w:kern w:val="0"/>
          <w:sz w:val="32"/>
          <w:szCs w:val="32"/>
        </w:rPr>
        <w:t>49.9</w:t>
      </w:r>
      <w:r>
        <w:rPr>
          <w:rFonts w:hint="eastAsia" w:ascii="Times New Roman" w:hAnsi="Times New Roman" w:eastAsia="仿宋_GB2312" w:cs="Times New Roman"/>
          <w:kern w:val="0"/>
          <w:sz w:val="32"/>
          <w:szCs w:val="32"/>
        </w:rPr>
        <w:t>%的人认为应加快建设信息化、智能化的社会治理设施体系，4</w:t>
      </w:r>
      <w:r>
        <w:rPr>
          <w:rFonts w:ascii="Times New Roman" w:hAnsi="Times New Roman" w:eastAsia="仿宋_GB2312" w:cs="Times New Roman"/>
          <w:kern w:val="0"/>
          <w:sz w:val="32"/>
          <w:szCs w:val="32"/>
        </w:rPr>
        <w:t>4.3</w:t>
      </w:r>
      <w:r>
        <w:rPr>
          <w:rFonts w:hint="eastAsia" w:ascii="Times New Roman" w:hAnsi="Times New Roman" w:eastAsia="仿宋_GB2312" w:cs="Times New Roman"/>
          <w:kern w:val="0"/>
          <w:sz w:val="32"/>
          <w:szCs w:val="32"/>
        </w:rPr>
        <w:t>%的认为需加强食品药品等城市安全监督管理。部分受访者认为应鼓励群众全面深度参与社区治理。</w:t>
      </w:r>
    </w:p>
    <w:bookmarkEnd w:id="2"/>
    <w:p>
      <w:pPr>
        <w:widowControl/>
        <w:spacing w:line="240" w:lineRule="auto"/>
        <w:ind w:firstLine="0" w:firstLineChars="0"/>
        <w:jc w:val="center"/>
        <w:rPr>
          <w:rFonts w:ascii="Times New Roman" w:hAnsi="Times New Roman" w:eastAsia="仿宋_GB2312" w:cs="Times New Roman"/>
          <w:kern w:val="0"/>
          <w:sz w:val="32"/>
          <w:szCs w:val="32"/>
        </w:rPr>
      </w:pPr>
      <w:r>
        <w:drawing>
          <wp:inline distT="0" distB="0" distL="114300" distR="114300">
            <wp:extent cx="4738370" cy="2743200"/>
            <wp:effectExtent l="0" t="0" r="5080" b="0"/>
            <wp:docPr id="20"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18 </w:t>
      </w:r>
      <w:r>
        <w:rPr>
          <w:rFonts w:hint="eastAsia" w:ascii="Times New Roman" w:hAnsi="Times New Roman" w:eastAsia="黑体" w:cs="Times New Roman"/>
          <w:kern w:val="0"/>
          <w:sz w:val="28"/>
          <w:szCs w:val="28"/>
        </w:rPr>
        <w:t>受访者认为海宁市社会基层治理的重点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1</w:t>
      </w:r>
      <w:r>
        <w:rPr>
          <w:rFonts w:ascii="Times New Roman" w:hAnsi="Times New Roman" w:eastAsia="楷体_GB2312" w:cs="Times New Roman"/>
          <w:b/>
          <w:bCs/>
          <w:kern w:val="0"/>
          <w:sz w:val="32"/>
          <w:szCs w:val="32"/>
        </w:rPr>
        <w:t>7</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生态环境方面，维育生态基质、深化环境综合整治，海宁任重道远。</w:t>
      </w:r>
      <w:r>
        <w:rPr>
          <w:rFonts w:hint="eastAsia" w:ascii="Times New Roman" w:hAnsi="Times New Roman" w:eastAsia="仿宋_GB2312" w:cs="Times New Roman"/>
          <w:kern w:val="0"/>
          <w:sz w:val="32"/>
          <w:szCs w:val="32"/>
        </w:rPr>
        <w:t>调查结果显示，6</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2%的受访者认为加强京杭运河二通道、洛塘河等水系、生态保护与修复，5</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.1%的认为应加强大气、土壤、噪声污染整治，5</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4%的表示落实生活垃圾分类、无害化处理举措切身相关。</w:t>
      </w:r>
    </w:p>
    <w:p>
      <w:pPr>
        <w:widowControl/>
        <w:spacing w:line="240" w:lineRule="auto"/>
        <w:ind w:firstLine="0" w:firstLineChars="0"/>
        <w:jc w:val="center"/>
        <w:rPr>
          <w:rFonts w:ascii="Times New Roman" w:hAnsi="Times New Roman" w:eastAsia="宋体" w:cs="Times New Roman"/>
          <w:kern w:val="0"/>
          <w:sz w:val="28"/>
          <w:szCs w:val="28"/>
        </w:rPr>
      </w:pPr>
      <w:r>
        <w:drawing>
          <wp:inline distT="0" distB="0" distL="0" distR="0">
            <wp:extent cx="4572000" cy="2743200"/>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19 </w:t>
      </w:r>
      <w:r>
        <w:rPr>
          <w:rFonts w:hint="eastAsia" w:ascii="Times New Roman" w:hAnsi="Times New Roman" w:eastAsia="黑体" w:cs="Times New Roman"/>
          <w:kern w:val="0"/>
          <w:sz w:val="28"/>
          <w:szCs w:val="28"/>
        </w:rPr>
        <w:t>受访者认为海宁市生态环境改善的重点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
          <w:bCs/>
          <w:kern w:val="0"/>
          <w:sz w:val="32"/>
          <w:szCs w:val="32"/>
        </w:rPr>
        <w:t>1</w:t>
      </w:r>
      <w:r>
        <w:rPr>
          <w:rFonts w:ascii="Times New Roman" w:hAnsi="Times New Roman" w:eastAsia="楷体_GB2312" w:cs="Times New Roman"/>
          <w:b/>
          <w:bCs/>
          <w:kern w:val="0"/>
          <w:sz w:val="32"/>
          <w:szCs w:val="32"/>
        </w:rPr>
        <w:t>8</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开放发展方面，深度融入长三角一体化、精准开展国际合作是海宁开放发展的两大方向。</w:t>
      </w:r>
      <w:r>
        <w:rPr>
          <w:rFonts w:hint="eastAsia" w:ascii="Times New Roman" w:hAnsi="Times New Roman" w:eastAsia="仿宋_GB2312" w:cs="Times New Roman"/>
          <w:kern w:val="0"/>
          <w:sz w:val="32"/>
          <w:szCs w:val="32"/>
        </w:rPr>
        <w:t>调查结果显示， 66.9%的受访者认为海宁应深化与沪杭战略合作，积极融入长三角一体化国家战略，4</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5%的受访者认为海宁应精准开展国际合作，吸引外资企业落户。部分受访者也认为海宁应大力推进体制机制创新，加快全域融杭的节奏。</w:t>
      </w:r>
    </w:p>
    <w:p>
      <w:pPr>
        <w:widowControl/>
        <w:spacing w:line="240" w:lineRule="auto"/>
        <w:ind w:firstLine="0" w:firstLineChars="0"/>
        <w:jc w:val="center"/>
        <w:rPr>
          <w:rFonts w:ascii="Times New Roman" w:hAnsi="Times New Roman" w:eastAsia="宋体" w:cs="Times New Roman"/>
          <w:kern w:val="0"/>
          <w:sz w:val="28"/>
          <w:szCs w:val="28"/>
        </w:rPr>
      </w:pPr>
      <w:r>
        <w:drawing>
          <wp:inline distT="0" distB="0" distL="0" distR="0">
            <wp:extent cx="4572000" cy="274320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20 </w:t>
      </w:r>
      <w:r>
        <w:rPr>
          <w:rFonts w:hint="eastAsia" w:ascii="Times New Roman" w:hAnsi="Times New Roman" w:eastAsia="黑体" w:cs="Times New Roman"/>
          <w:kern w:val="0"/>
          <w:sz w:val="28"/>
          <w:szCs w:val="28"/>
        </w:rPr>
        <w:t>受访者认为海宁市推动内外开放的重点</w:t>
      </w:r>
    </w:p>
    <w:p>
      <w:pPr>
        <w:keepNext w:val="0"/>
        <w:keepLines w:val="0"/>
        <w:pageBreakBefore w:val="0"/>
        <w:widowControl/>
        <w:kinsoku/>
        <w:wordWrap/>
        <w:overflowPunct/>
        <w:topLinePunct w:val="0"/>
        <w:autoSpaceDE/>
        <w:autoSpaceDN/>
        <w:bidi w:val="0"/>
        <w:adjustRightInd/>
        <w:snapToGrid/>
        <w:spacing w:line="560" w:lineRule="exact"/>
        <w:ind w:firstLine="643"/>
        <w:textAlignment w:val="auto"/>
        <w:rPr>
          <w:rFonts w:ascii="Times New Roman" w:hAnsi="Times New Roman" w:eastAsia="仿宋_GB2312" w:cs="Times New Roman"/>
          <w:kern w:val="0"/>
          <w:sz w:val="32"/>
          <w:szCs w:val="32"/>
        </w:rPr>
      </w:pPr>
      <w:r>
        <w:rPr>
          <w:rFonts w:ascii="Times New Roman" w:hAnsi="Times New Roman" w:eastAsia="楷体_GB2312" w:cs="Times New Roman"/>
          <w:b/>
          <w:bCs/>
          <w:kern w:val="0"/>
          <w:sz w:val="32"/>
          <w:szCs w:val="32"/>
        </w:rPr>
        <w:t>19</w:t>
      </w:r>
      <w:r>
        <w:rPr>
          <w:rFonts w:hint="eastAsia" w:ascii="Times New Roman" w:hAnsi="Times New Roman" w:eastAsia="楷体_GB2312" w:cs="Times New Roman"/>
          <w:b/>
          <w:bCs/>
          <w:kern w:val="0"/>
          <w:sz w:val="32"/>
          <w:szCs w:val="32"/>
          <w:lang w:val="en-US" w:eastAsia="zh-CN"/>
        </w:rPr>
        <w:t>.</w:t>
      </w:r>
      <w:r>
        <w:rPr>
          <w:rFonts w:hint="eastAsia" w:ascii="Times New Roman" w:hAnsi="Times New Roman" w:eastAsia="楷体_GB2312" w:cs="Times New Roman"/>
          <w:b/>
          <w:bCs/>
          <w:kern w:val="0"/>
          <w:sz w:val="32"/>
          <w:szCs w:val="32"/>
        </w:rPr>
        <w:t>深化改革方面，深化“最多跑一次”改革、民生领域改革、营商环境优化等是“十四五”时期海宁改革着力点。</w:t>
      </w:r>
      <w:r>
        <w:rPr>
          <w:rFonts w:hint="eastAsia" w:ascii="Times New Roman" w:hAnsi="Times New Roman" w:eastAsia="仿宋_GB2312" w:cs="Times New Roman"/>
          <w:kern w:val="0"/>
          <w:sz w:val="32"/>
          <w:szCs w:val="32"/>
        </w:rPr>
        <w:t>调查结果显示，5</w:t>
      </w:r>
      <w:r>
        <w:rPr>
          <w:rFonts w:ascii="Times New Roman" w:hAnsi="Times New Roman" w:eastAsia="仿宋_GB2312" w:cs="Times New Roman"/>
          <w:kern w:val="0"/>
          <w:sz w:val="32"/>
          <w:szCs w:val="32"/>
        </w:rPr>
        <w:t>4.4</w:t>
      </w:r>
      <w:r>
        <w:rPr>
          <w:rFonts w:hint="eastAsia" w:ascii="Times New Roman" w:hAnsi="Times New Roman" w:eastAsia="仿宋_GB2312" w:cs="Times New Roman"/>
          <w:kern w:val="0"/>
          <w:sz w:val="32"/>
          <w:szCs w:val="32"/>
        </w:rPr>
        <w:t>%的受访者认为应深化“最多跑一次”改革，进一步简化办事流程；5</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%的认为应深化教育医疗等民生领域改革，满足群众优质公共服务需要，4</w:t>
      </w:r>
      <w:r>
        <w:rPr>
          <w:rFonts w:ascii="Times New Roman" w:hAnsi="Times New Roman" w:eastAsia="仿宋_GB2312" w:cs="Times New Roman"/>
          <w:kern w:val="0"/>
          <w:sz w:val="32"/>
          <w:szCs w:val="32"/>
        </w:rPr>
        <w:t>5.5</w:t>
      </w:r>
      <w:r>
        <w:rPr>
          <w:rFonts w:hint="eastAsia" w:ascii="Times New Roman" w:hAnsi="Times New Roman" w:eastAsia="仿宋_GB2312" w:cs="Times New Roman"/>
          <w:kern w:val="0"/>
          <w:sz w:val="32"/>
          <w:szCs w:val="32"/>
        </w:rPr>
        <w:t>%的认为海宁应主动开展营商环境与沪杭对标，打造营商环境最优市。</w:t>
      </w:r>
    </w:p>
    <w:p>
      <w:pPr>
        <w:widowControl/>
        <w:spacing w:line="240" w:lineRule="auto"/>
        <w:ind w:firstLine="0" w:firstLineChars="0"/>
        <w:jc w:val="center"/>
        <w:rPr>
          <w:rFonts w:ascii="Times New Roman" w:hAnsi="Times New Roman" w:eastAsia="宋体" w:cs="Times New Roman"/>
          <w:kern w:val="0"/>
          <w:sz w:val="28"/>
          <w:szCs w:val="28"/>
        </w:rPr>
      </w:pPr>
      <w:r>
        <w:drawing>
          <wp:inline distT="0" distB="0" distL="114300" distR="114300">
            <wp:extent cx="4572000" cy="2743200"/>
            <wp:effectExtent l="0" t="0" r="0" b="0"/>
            <wp:docPr id="23"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widowControl/>
        <w:spacing w:line="240" w:lineRule="auto"/>
        <w:ind w:firstLine="0" w:firstLineChars="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 xml:space="preserve">图 21 </w:t>
      </w:r>
      <w:r>
        <w:rPr>
          <w:rFonts w:hint="eastAsia" w:ascii="Times New Roman" w:hAnsi="Times New Roman" w:eastAsia="黑体" w:cs="Times New Roman"/>
          <w:kern w:val="0"/>
          <w:sz w:val="28"/>
          <w:szCs w:val="28"/>
        </w:rPr>
        <w:t>受访者认为海宁市深化改革的重点</w:t>
      </w:r>
    </w:p>
    <w:p>
      <w:pPr>
        <w:pStyle w:val="7"/>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eastAsia="楷体_GB2312"/>
          <w:b/>
          <w:bCs/>
        </w:rPr>
      </w:pPr>
      <w:r>
        <w:rPr>
          <w:rFonts w:hint="eastAsia" w:eastAsia="楷体_GB2312"/>
          <w:b/>
          <w:bCs/>
        </w:rPr>
        <w:t>2</w:t>
      </w:r>
      <w:r>
        <w:rPr>
          <w:rFonts w:eastAsia="楷体_GB2312"/>
          <w:b/>
          <w:bCs/>
        </w:rPr>
        <w:t>0</w:t>
      </w:r>
      <w:r>
        <w:rPr>
          <w:rFonts w:hint="eastAsia" w:eastAsia="楷体_GB2312"/>
          <w:b/>
          <w:bCs/>
          <w:lang w:val="en-US" w:eastAsia="zh-CN"/>
        </w:rPr>
        <w:t>.</w:t>
      </w:r>
      <w:r>
        <w:rPr>
          <w:rFonts w:hint="eastAsia" w:eastAsia="楷体_GB2312"/>
          <w:b/>
          <w:bCs/>
        </w:rPr>
        <w:t>“十四五”期间，高铁站成为海宁民众最大的期盼。</w:t>
      </w:r>
      <w:r>
        <w:t>通过对文字建议进行词频分析，“</w:t>
      </w:r>
      <w:r>
        <w:rPr>
          <w:rFonts w:hint="eastAsia"/>
        </w:rPr>
        <w:t>高铁站</w:t>
      </w:r>
      <w:r>
        <w:t>”“</w:t>
      </w:r>
      <w:r>
        <w:rPr>
          <w:rFonts w:hint="eastAsia"/>
        </w:rPr>
        <w:t>杭州</w:t>
      </w:r>
      <w:r>
        <w:t>”“</w:t>
      </w:r>
      <w:r>
        <w:rPr>
          <w:rFonts w:hint="eastAsia"/>
        </w:rPr>
        <w:t>教育</w:t>
      </w:r>
      <w:r>
        <w:t>”“</w:t>
      </w:r>
      <w:r>
        <w:rPr>
          <w:rFonts w:hint="eastAsia"/>
        </w:rPr>
        <w:t>建设</w:t>
      </w:r>
      <w:r>
        <w:t>”“</w:t>
      </w:r>
      <w:r>
        <w:rPr>
          <w:rFonts w:hint="eastAsia"/>
        </w:rPr>
        <w:t>城市</w:t>
      </w:r>
      <w:r>
        <w:t>”等词出现频率较高，</w:t>
      </w:r>
      <w:r>
        <w:rPr>
          <w:rFonts w:hint="eastAsia"/>
        </w:rPr>
        <w:t>一定程度上反映了“十四五”时期海宁居民对于内联外通的现代交通系统、高水平的杭海一体化水平、优质均衡的教育资源、品质化的城市建设等都有非常强烈的诉求。此外，医疗、幸福感、规划、经编、住房等关键词也成为群众关注的焦点。</w:t>
      </w:r>
    </w:p>
    <w:p>
      <w:pPr>
        <w:widowControl/>
        <w:spacing w:line="240" w:lineRule="auto"/>
        <w:ind w:firstLine="0" w:firstLineChars="0"/>
        <w:jc w:val="center"/>
        <w:rPr>
          <w:rFonts w:ascii="Times New Roman" w:hAnsi="Times New Roman" w:eastAsia="黑体" w:cs="Times New Roman"/>
          <w:kern w:val="0"/>
          <w:sz w:val="28"/>
          <w:szCs w:val="28"/>
        </w:rPr>
      </w:pPr>
      <w:r>
        <w:rPr>
          <w:rFonts w:eastAsia="黑体"/>
          <w:kern w:val="0"/>
          <w:sz w:val="28"/>
          <w:szCs w:val="28"/>
        </w:rPr>
        <w:drawing>
          <wp:anchor distT="0" distB="0" distL="114300" distR="114300" simplePos="0" relativeHeight="251660288" behindDoc="0" locked="0" layoutInCell="1" allowOverlap="1">
            <wp:simplePos x="0" y="0"/>
            <wp:positionH relativeFrom="margin">
              <wp:posOffset>979805</wp:posOffset>
            </wp:positionH>
            <wp:positionV relativeFrom="paragraph">
              <wp:posOffset>156845</wp:posOffset>
            </wp:positionV>
            <wp:extent cx="3174365" cy="2436495"/>
            <wp:effectExtent l="0" t="0" r="6985" b="1905"/>
            <wp:wrapTopAndBottom/>
            <wp:docPr id="24" name="图片 24" descr="微词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微词云"/>
                    <pic:cNvPicPr>
                      <a:picLocks noChangeAspect="true"/>
                    </pic:cNvPicPr>
                  </pic:nvPicPr>
                  <pic:blipFill>
                    <a:blip r:embed="rId33"/>
                    <a:stretch>
                      <a:fillRect/>
                    </a:stretch>
                  </pic:blipFill>
                  <pic:spPr>
                    <a:xfrm>
                      <a:off x="0" y="0"/>
                      <a:ext cx="3174365" cy="2436495"/>
                    </a:xfrm>
                    <a:prstGeom prst="rect">
                      <a:avLst/>
                    </a:prstGeom>
                  </pic:spPr>
                </pic:pic>
              </a:graphicData>
            </a:graphic>
          </wp:anchor>
        </w:drawing>
      </w:r>
      <w:r>
        <w:rPr>
          <w:rFonts w:ascii="Times New Roman" w:hAnsi="Times New Roman" w:eastAsia="黑体" w:cs="Times New Roman"/>
          <w:kern w:val="0"/>
          <w:sz w:val="28"/>
          <w:szCs w:val="28"/>
        </w:rPr>
        <w:t xml:space="preserve">图 22 </w:t>
      </w:r>
      <w:r>
        <w:rPr>
          <w:rFonts w:hint="eastAsia" w:ascii="Times New Roman" w:hAnsi="Times New Roman" w:eastAsia="黑体" w:cs="Times New Roman"/>
          <w:kern w:val="0"/>
          <w:sz w:val="28"/>
          <w:szCs w:val="28"/>
        </w:rPr>
        <w:t>受访者对未来五年海宁市发展的建议</w:t>
      </w:r>
    </w:p>
    <w:sectPr>
      <w:headerReference r:id="rId7" w:type="first"/>
      <w:footerReference r:id="rId10" w:type="first"/>
      <w:headerReference r:id="rId5" w:type="default"/>
      <w:footerReference r:id="rId8" w:type="default"/>
      <w:headerReference r:id="rId6" w:type="even"/>
      <w:footerReference r:id="rId9" w:type="even"/>
      <w:pgSz w:w="11906" w:h="16838"/>
      <w:pgMar w:top="1531" w:right="1531" w:bottom="1531" w:left="1531"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modern"/>
    <w:pitch w:val="default"/>
    <w:sig w:usb0="00000000" w:usb1="00000000" w:usb2="0000001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0" w:usb3="00000000" w:csb0="2000019F" w:csb1="00000000"/>
  </w:font>
  <w:font w:name="仿宋">
    <w:altName w:val="方正仿宋_GBK"/>
    <w:panose1 w:val="02010609060101010101"/>
    <w:charset w:val="86"/>
    <w:family w:val="modern"/>
    <w:pitch w:val="default"/>
    <w:sig w:usb0="00000000" w:usb1="00000000" w:usb2="00000016" w:usb3="00000000" w:csb0="00040001" w:csb1="00000000"/>
  </w:font>
  <w:font w:name="方正魏碑简体">
    <w:altName w:val="方正细黑一_GBK"/>
    <w:panose1 w:val="03000509000000000000"/>
    <w:charset w:val="86"/>
    <w:family w:val="script"/>
    <w:pitch w:val="default"/>
    <w:sig w:usb0="00000000" w:usb1="00000000" w:usb2="0000001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方正细黑一_GBK">
    <w:panose1 w:val="03000509000000000000"/>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anumGothic">
    <w:panose1 w:val="020D0604000000000000"/>
    <w:charset w:val="81"/>
    <w:family w:val="auto"/>
    <w:pitch w:val="default"/>
    <w:sig w:usb0="900002A7" w:usb1="29D7FCFB" w:usb2="00000010" w:usb3="00000000" w:csb0="0008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rPr>
      <w:id w:val="514659654"/>
    </w:sdtPr>
    <w:sdtEndPr>
      <w:rPr>
        <w:rFonts w:ascii="Times New Roman" w:hAnsi="Times New Roman" w:cs="Times New Roman"/>
        <w:sz w:val="28"/>
      </w:rPr>
    </w:sdtEndPr>
    <w:sdtContent>
      <w:p>
        <w:pPr>
          <w:pStyle w:val="11"/>
          <w:ind w:firstLine="0" w:firstLineChars="0"/>
          <w:jc w:val="center"/>
          <w:rPr>
            <w:rFonts w:ascii="Times New Roman" w:hAnsi="Times New Roman" w:cs="Times New Roman"/>
            <w:sz w:val="28"/>
          </w:rPr>
        </w:pP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3</w:t>
        </w:r>
        <w:r>
          <w:rPr>
            <w:rFonts w:ascii="Times New Roman" w:hAnsi="Times New Roman" w:cs="Times New Roman"/>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560"/>
      <w:rPr>
        <w:sz w:val="28"/>
      </w:rPr>
    </w:pPr>
  </w:p>
  <w:p>
    <w:pPr>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p>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1274A8"/>
    <w:multiLevelType w:val="multilevel"/>
    <w:tmpl w:val="5C1274A8"/>
    <w:lvl w:ilvl="0" w:tentative="0">
      <w:start w:val="1"/>
      <w:numFmt w:val="japaneseCounting"/>
      <w:pStyle w:val="22"/>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E47"/>
    <w:rsid w:val="00000F77"/>
    <w:rsid w:val="00002CF6"/>
    <w:rsid w:val="00013DB7"/>
    <w:rsid w:val="00027894"/>
    <w:rsid w:val="0004093F"/>
    <w:rsid w:val="000443F1"/>
    <w:rsid w:val="00044E31"/>
    <w:rsid w:val="00045209"/>
    <w:rsid w:val="00053F84"/>
    <w:rsid w:val="000674E7"/>
    <w:rsid w:val="0009311A"/>
    <w:rsid w:val="00094913"/>
    <w:rsid w:val="00096191"/>
    <w:rsid w:val="000A7E0D"/>
    <w:rsid w:val="000C3ED5"/>
    <w:rsid w:val="000D5936"/>
    <w:rsid w:val="000D6228"/>
    <w:rsid w:val="000E05E1"/>
    <w:rsid w:val="000E6145"/>
    <w:rsid w:val="000F4804"/>
    <w:rsid w:val="000F6CBB"/>
    <w:rsid w:val="0011129B"/>
    <w:rsid w:val="00113C7E"/>
    <w:rsid w:val="00127A71"/>
    <w:rsid w:val="00127D84"/>
    <w:rsid w:val="00130253"/>
    <w:rsid w:val="00146774"/>
    <w:rsid w:val="0015426E"/>
    <w:rsid w:val="00154733"/>
    <w:rsid w:val="00157CBC"/>
    <w:rsid w:val="00167381"/>
    <w:rsid w:val="00167F19"/>
    <w:rsid w:val="0018000C"/>
    <w:rsid w:val="0018561B"/>
    <w:rsid w:val="00185DCC"/>
    <w:rsid w:val="001B2BF3"/>
    <w:rsid w:val="001B7810"/>
    <w:rsid w:val="001C5461"/>
    <w:rsid w:val="001D28FD"/>
    <w:rsid w:val="001F3845"/>
    <w:rsid w:val="001F527D"/>
    <w:rsid w:val="00203B0E"/>
    <w:rsid w:val="002058EA"/>
    <w:rsid w:val="00217B55"/>
    <w:rsid w:val="00236889"/>
    <w:rsid w:val="00241500"/>
    <w:rsid w:val="00242FDE"/>
    <w:rsid w:val="00255D47"/>
    <w:rsid w:val="002573EF"/>
    <w:rsid w:val="00262F66"/>
    <w:rsid w:val="00272551"/>
    <w:rsid w:val="0027284F"/>
    <w:rsid w:val="00274AC7"/>
    <w:rsid w:val="00274BBC"/>
    <w:rsid w:val="00285DE1"/>
    <w:rsid w:val="002A16A9"/>
    <w:rsid w:val="002A19DE"/>
    <w:rsid w:val="002A6B1D"/>
    <w:rsid w:val="002B0FF6"/>
    <w:rsid w:val="002B1AD7"/>
    <w:rsid w:val="002B762B"/>
    <w:rsid w:val="002C3A34"/>
    <w:rsid w:val="002C4AC8"/>
    <w:rsid w:val="002C6ED0"/>
    <w:rsid w:val="002D5BF7"/>
    <w:rsid w:val="002F45ED"/>
    <w:rsid w:val="002F5341"/>
    <w:rsid w:val="00303C23"/>
    <w:rsid w:val="00306A40"/>
    <w:rsid w:val="00313578"/>
    <w:rsid w:val="003224A1"/>
    <w:rsid w:val="00333D35"/>
    <w:rsid w:val="00343AA5"/>
    <w:rsid w:val="0036012B"/>
    <w:rsid w:val="003612E8"/>
    <w:rsid w:val="003620F4"/>
    <w:rsid w:val="00362AD5"/>
    <w:rsid w:val="00365451"/>
    <w:rsid w:val="00366828"/>
    <w:rsid w:val="00382569"/>
    <w:rsid w:val="00385F5B"/>
    <w:rsid w:val="003B36E4"/>
    <w:rsid w:val="003B6D34"/>
    <w:rsid w:val="003B7420"/>
    <w:rsid w:val="003B7451"/>
    <w:rsid w:val="003C32AB"/>
    <w:rsid w:val="003D3EA0"/>
    <w:rsid w:val="003E58AB"/>
    <w:rsid w:val="00403570"/>
    <w:rsid w:val="00403631"/>
    <w:rsid w:val="004107F7"/>
    <w:rsid w:val="004171A7"/>
    <w:rsid w:val="00432C93"/>
    <w:rsid w:val="0046031B"/>
    <w:rsid w:val="00477EAE"/>
    <w:rsid w:val="00484FE4"/>
    <w:rsid w:val="004A1411"/>
    <w:rsid w:val="004B0242"/>
    <w:rsid w:val="004E799E"/>
    <w:rsid w:val="004E7A6E"/>
    <w:rsid w:val="004F6214"/>
    <w:rsid w:val="005002F9"/>
    <w:rsid w:val="00511AF2"/>
    <w:rsid w:val="00524BE3"/>
    <w:rsid w:val="005257DC"/>
    <w:rsid w:val="00526237"/>
    <w:rsid w:val="0054249C"/>
    <w:rsid w:val="00547F5D"/>
    <w:rsid w:val="00560688"/>
    <w:rsid w:val="00571CAA"/>
    <w:rsid w:val="0057361A"/>
    <w:rsid w:val="0058191F"/>
    <w:rsid w:val="00586446"/>
    <w:rsid w:val="0059164C"/>
    <w:rsid w:val="005A2A74"/>
    <w:rsid w:val="005A554F"/>
    <w:rsid w:val="005B7AE3"/>
    <w:rsid w:val="005D2413"/>
    <w:rsid w:val="005E2F49"/>
    <w:rsid w:val="005E39C2"/>
    <w:rsid w:val="005F5471"/>
    <w:rsid w:val="005F7148"/>
    <w:rsid w:val="00606AF5"/>
    <w:rsid w:val="0061057A"/>
    <w:rsid w:val="0064159B"/>
    <w:rsid w:val="00651F62"/>
    <w:rsid w:val="006567AD"/>
    <w:rsid w:val="006616CA"/>
    <w:rsid w:val="0066505D"/>
    <w:rsid w:val="00667088"/>
    <w:rsid w:val="00680076"/>
    <w:rsid w:val="006814CD"/>
    <w:rsid w:val="006B0721"/>
    <w:rsid w:val="006C67F9"/>
    <w:rsid w:val="006E17D9"/>
    <w:rsid w:val="006F1BC2"/>
    <w:rsid w:val="00700B75"/>
    <w:rsid w:val="00713399"/>
    <w:rsid w:val="007250A1"/>
    <w:rsid w:val="00725779"/>
    <w:rsid w:val="00732D0F"/>
    <w:rsid w:val="00743766"/>
    <w:rsid w:val="00746EB6"/>
    <w:rsid w:val="0076380B"/>
    <w:rsid w:val="00772A51"/>
    <w:rsid w:val="007A2949"/>
    <w:rsid w:val="007A7AF7"/>
    <w:rsid w:val="007D1757"/>
    <w:rsid w:val="007E2C09"/>
    <w:rsid w:val="007E3B3F"/>
    <w:rsid w:val="007E516D"/>
    <w:rsid w:val="007E7182"/>
    <w:rsid w:val="007F6411"/>
    <w:rsid w:val="0081011B"/>
    <w:rsid w:val="00814356"/>
    <w:rsid w:val="0081746D"/>
    <w:rsid w:val="00817CAF"/>
    <w:rsid w:val="0082306A"/>
    <w:rsid w:val="00823D16"/>
    <w:rsid w:val="00827297"/>
    <w:rsid w:val="00841F89"/>
    <w:rsid w:val="008476D9"/>
    <w:rsid w:val="00871A59"/>
    <w:rsid w:val="008737A1"/>
    <w:rsid w:val="008744E1"/>
    <w:rsid w:val="00877CCE"/>
    <w:rsid w:val="00896D2F"/>
    <w:rsid w:val="008B2154"/>
    <w:rsid w:val="008B4219"/>
    <w:rsid w:val="008E3799"/>
    <w:rsid w:val="008E4EA0"/>
    <w:rsid w:val="008F7816"/>
    <w:rsid w:val="00901DFF"/>
    <w:rsid w:val="0091033B"/>
    <w:rsid w:val="009501AB"/>
    <w:rsid w:val="0097194F"/>
    <w:rsid w:val="009741C6"/>
    <w:rsid w:val="00980A23"/>
    <w:rsid w:val="00980B89"/>
    <w:rsid w:val="00984F87"/>
    <w:rsid w:val="00990D63"/>
    <w:rsid w:val="00991811"/>
    <w:rsid w:val="009A4FBC"/>
    <w:rsid w:val="009B0740"/>
    <w:rsid w:val="009B1135"/>
    <w:rsid w:val="009C1A7B"/>
    <w:rsid w:val="009C2B91"/>
    <w:rsid w:val="009E0944"/>
    <w:rsid w:val="009E6EC5"/>
    <w:rsid w:val="00A0062A"/>
    <w:rsid w:val="00A02D5D"/>
    <w:rsid w:val="00A12FC6"/>
    <w:rsid w:val="00A13934"/>
    <w:rsid w:val="00A20C2B"/>
    <w:rsid w:val="00A25580"/>
    <w:rsid w:val="00A25B1D"/>
    <w:rsid w:val="00A331EF"/>
    <w:rsid w:val="00A33A1F"/>
    <w:rsid w:val="00A367B8"/>
    <w:rsid w:val="00A41EF5"/>
    <w:rsid w:val="00A421AF"/>
    <w:rsid w:val="00A47B55"/>
    <w:rsid w:val="00A5146B"/>
    <w:rsid w:val="00A54891"/>
    <w:rsid w:val="00A54EC5"/>
    <w:rsid w:val="00A63993"/>
    <w:rsid w:val="00A67834"/>
    <w:rsid w:val="00A67A4A"/>
    <w:rsid w:val="00A7702C"/>
    <w:rsid w:val="00A83FEF"/>
    <w:rsid w:val="00AB481C"/>
    <w:rsid w:val="00AD0CC3"/>
    <w:rsid w:val="00AD1FD6"/>
    <w:rsid w:val="00AE6CEB"/>
    <w:rsid w:val="00AE7EA2"/>
    <w:rsid w:val="00AF1629"/>
    <w:rsid w:val="00B13AF6"/>
    <w:rsid w:val="00B34334"/>
    <w:rsid w:val="00B35D31"/>
    <w:rsid w:val="00B42FA0"/>
    <w:rsid w:val="00B50D04"/>
    <w:rsid w:val="00B53CE9"/>
    <w:rsid w:val="00B54EE9"/>
    <w:rsid w:val="00B725C8"/>
    <w:rsid w:val="00B75EE7"/>
    <w:rsid w:val="00B81FF9"/>
    <w:rsid w:val="00B8301E"/>
    <w:rsid w:val="00B84586"/>
    <w:rsid w:val="00BC18D8"/>
    <w:rsid w:val="00BC7A01"/>
    <w:rsid w:val="00BE0534"/>
    <w:rsid w:val="00BE1527"/>
    <w:rsid w:val="00BE160A"/>
    <w:rsid w:val="00BF793D"/>
    <w:rsid w:val="00BF79C5"/>
    <w:rsid w:val="00C05FEB"/>
    <w:rsid w:val="00C23E0C"/>
    <w:rsid w:val="00C33449"/>
    <w:rsid w:val="00C50D86"/>
    <w:rsid w:val="00C55217"/>
    <w:rsid w:val="00C65AB0"/>
    <w:rsid w:val="00C66D37"/>
    <w:rsid w:val="00C66FE8"/>
    <w:rsid w:val="00C67A51"/>
    <w:rsid w:val="00C67C9D"/>
    <w:rsid w:val="00C720AB"/>
    <w:rsid w:val="00C732F5"/>
    <w:rsid w:val="00C746EB"/>
    <w:rsid w:val="00C80432"/>
    <w:rsid w:val="00C87EFC"/>
    <w:rsid w:val="00C91252"/>
    <w:rsid w:val="00C97BD6"/>
    <w:rsid w:val="00CC2905"/>
    <w:rsid w:val="00CD058C"/>
    <w:rsid w:val="00CF06C3"/>
    <w:rsid w:val="00D0194C"/>
    <w:rsid w:val="00D13BBC"/>
    <w:rsid w:val="00D36C89"/>
    <w:rsid w:val="00D377E8"/>
    <w:rsid w:val="00D55A29"/>
    <w:rsid w:val="00D640AF"/>
    <w:rsid w:val="00D8041C"/>
    <w:rsid w:val="00D81263"/>
    <w:rsid w:val="00D94604"/>
    <w:rsid w:val="00DB1A3C"/>
    <w:rsid w:val="00DC4E36"/>
    <w:rsid w:val="00DC519F"/>
    <w:rsid w:val="00DE49ED"/>
    <w:rsid w:val="00DF30AF"/>
    <w:rsid w:val="00DF35D3"/>
    <w:rsid w:val="00DF3BDE"/>
    <w:rsid w:val="00DF43D7"/>
    <w:rsid w:val="00E01400"/>
    <w:rsid w:val="00E10686"/>
    <w:rsid w:val="00E106B9"/>
    <w:rsid w:val="00E20EB6"/>
    <w:rsid w:val="00E34A15"/>
    <w:rsid w:val="00E744B0"/>
    <w:rsid w:val="00E77C27"/>
    <w:rsid w:val="00ED0925"/>
    <w:rsid w:val="00ED0E47"/>
    <w:rsid w:val="00ED1925"/>
    <w:rsid w:val="00ED4A7E"/>
    <w:rsid w:val="00EE1FF6"/>
    <w:rsid w:val="00EE234F"/>
    <w:rsid w:val="00F0055C"/>
    <w:rsid w:val="00F0356E"/>
    <w:rsid w:val="00F12C67"/>
    <w:rsid w:val="00F14FD9"/>
    <w:rsid w:val="00F15567"/>
    <w:rsid w:val="00F15D99"/>
    <w:rsid w:val="00F2040F"/>
    <w:rsid w:val="00F26F60"/>
    <w:rsid w:val="00F417A0"/>
    <w:rsid w:val="00F559A5"/>
    <w:rsid w:val="00F67B11"/>
    <w:rsid w:val="00F70E97"/>
    <w:rsid w:val="00F73496"/>
    <w:rsid w:val="00F77A2B"/>
    <w:rsid w:val="00F81844"/>
    <w:rsid w:val="00F84368"/>
    <w:rsid w:val="00F87F1B"/>
    <w:rsid w:val="00FA2C98"/>
    <w:rsid w:val="00FB1346"/>
    <w:rsid w:val="00FB2A91"/>
    <w:rsid w:val="00FB6C05"/>
    <w:rsid w:val="00FD32E6"/>
    <w:rsid w:val="00FD3894"/>
    <w:rsid w:val="00FD6D64"/>
    <w:rsid w:val="00FF5BA8"/>
    <w:rsid w:val="01CE347D"/>
    <w:rsid w:val="0AFD3128"/>
    <w:rsid w:val="10A46157"/>
    <w:rsid w:val="11DE7CE7"/>
    <w:rsid w:val="17F87253"/>
    <w:rsid w:val="349C5C0F"/>
    <w:rsid w:val="3B631076"/>
    <w:rsid w:val="3FBA7557"/>
    <w:rsid w:val="53347499"/>
    <w:rsid w:val="54DB494B"/>
    <w:rsid w:val="57DF5BE8"/>
    <w:rsid w:val="60EC55F1"/>
    <w:rsid w:val="62E138D4"/>
    <w:rsid w:val="66DB77D2"/>
    <w:rsid w:val="671663F8"/>
    <w:rsid w:val="6C1728B8"/>
    <w:rsid w:val="7402041C"/>
    <w:rsid w:val="74E80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Theme="minorHAnsi" w:hAnsiTheme="minorHAnsi" w:eastAsiaTheme="minorEastAsia" w:cstheme="minorBidi"/>
      <w:kern w:val="2"/>
      <w:sz w:val="21"/>
      <w:szCs w:val="21"/>
      <w:lang w:val="en-US" w:eastAsia="zh-CN" w:bidi="ar-SA"/>
    </w:rPr>
  </w:style>
  <w:style w:type="paragraph" w:styleId="3">
    <w:name w:val="heading 1"/>
    <w:basedOn w:val="1"/>
    <w:next w:val="1"/>
    <w:link w:val="37"/>
    <w:qFormat/>
    <w:uiPriority w:val="9"/>
    <w:pPr>
      <w:keepNext/>
      <w:keepLines/>
      <w:spacing w:line="360" w:lineRule="auto"/>
      <w:ind w:firstLine="0" w:firstLineChars="0"/>
      <w:jc w:val="center"/>
      <w:outlineLvl w:val="0"/>
    </w:pPr>
    <w:rPr>
      <w:rFonts w:ascii="Times New Roman" w:hAnsi="Times New Roman" w:eastAsia="方正小标宋简体"/>
      <w:bCs/>
      <w:kern w:val="44"/>
      <w:sz w:val="44"/>
      <w:szCs w:val="44"/>
    </w:rPr>
  </w:style>
  <w:style w:type="paragraph" w:styleId="4">
    <w:name w:val="heading 2"/>
    <w:basedOn w:val="1"/>
    <w:next w:val="1"/>
    <w:link w:val="24"/>
    <w:unhideWhenUsed/>
    <w:qFormat/>
    <w:uiPriority w:val="9"/>
    <w:pPr>
      <w:keepNext/>
      <w:keepLines/>
      <w:spacing w:line="360" w:lineRule="auto"/>
      <w:jc w:val="left"/>
      <w:outlineLvl w:val="1"/>
    </w:pPr>
    <w:rPr>
      <w:rFonts w:ascii="Times New Roman" w:hAnsi="Times New Roman" w:eastAsia="楷体_GB2312" w:cstheme="majorBidi"/>
      <w:b/>
      <w:bCs/>
      <w:sz w:val="32"/>
      <w:szCs w:val="32"/>
    </w:rPr>
  </w:style>
  <w:style w:type="paragraph" w:styleId="5">
    <w:name w:val="heading 3"/>
    <w:basedOn w:val="1"/>
    <w:next w:val="1"/>
    <w:link w:val="27"/>
    <w:qFormat/>
    <w:uiPriority w:val="9"/>
    <w:pPr>
      <w:widowControl/>
      <w:spacing w:before="100" w:beforeAutospacing="1" w:after="100" w:afterAutospacing="1" w:line="360" w:lineRule="auto"/>
      <w:jc w:val="left"/>
      <w:outlineLvl w:val="2"/>
    </w:pPr>
    <w:rPr>
      <w:rFonts w:ascii="宋体" w:hAnsi="宋体" w:eastAsia="宋体" w:cs="宋体"/>
      <w:bCs/>
      <w:kern w:val="0"/>
      <w:sz w:val="28"/>
      <w:szCs w:val="27"/>
    </w:rPr>
  </w:style>
  <w:style w:type="paragraph" w:styleId="6">
    <w:name w:val="heading 4"/>
    <w:basedOn w:val="7"/>
    <w:next w:val="1"/>
    <w:link w:val="30"/>
    <w:unhideWhenUsed/>
    <w:qFormat/>
    <w:uiPriority w:val="9"/>
    <w:pPr>
      <w:jc w:val="left"/>
      <w:outlineLvl w:val="3"/>
    </w:pPr>
    <w:rPr>
      <w:rFonts w:eastAsia="黑体" w:cstheme="majorBidi"/>
      <w:b/>
      <w:bCs/>
    </w:rPr>
  </w:style>
  <w:style w:type="paragraph" w:styleId="8">
    <w:name w:val="heading 5"/>
    <w:basedOn w:val="1"/>
    <w:next w:val="1"/>
    <w:link w:val="31"/>
    <w:semiHidden/>
    <w:unhideWhenUsed/>
    <w:qFormat/>
    <w:uiPriority w:val="9"/>
    <w:pPr>
      <w:keepNext/>
      <w:keepLines/>
      <w:spacing w:before="280" w:after="290" w:line="376" w:lineRule="atLeast"/>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qFormat/>
    <w:uiPriority w:val="0"/>
    <w:pPr>
      <w:ind w:firstLine="200" w:firstLineChars="200"/>
    </w:pPr>
  </w:style>
  <w:style w:type="paragraph" w:customStyle="1" w:styleId="7">
    <w:name w:val="D正文"/>
    <w:basedOn w:val="1"/>
    <w:link w:val="21"/>
    <w:qFormat/>
    <w:uiPriority w:val="0"/>
    <w:pPr>
      <w:spacing w:line="360" w:lineRule="auto"/>
    </w:pPr>
    <w:rPr>
      <w:rFonts w:ascii="Times New Roman" w:hAnsi="Times New Roman" w:eastAsia="仿宋_GB2312" w:cs="Times New Roman"/>
      <w:color w:val="000000" w:themeColor="text1"/>
      <w:sz w:val="32"/>
      <w:szCs w:val="36"/>
      <w:shd w:val="clear" w:color="auto" w:fill="FFFFFF"/>
      <w14:textFill>
        <w14:solidFill>
          <w14:schemeClr w14:val="tx1"/>
        </w14:solidFill>
      </w14:textFill>
    </w:rPr>
  </w:style>
  <w:style w:type="paragraph" w:styleId="9">
    <w:name w:val="caption"/>
    <w:basedOn w:val="1"/>
    <w:next w:val="1"/>
    <w:unhideWhenUsed/>
    <w:qFormat/>
    <w:uiPriority w:val="35"/>
    <w:pPr>
      <w:ind w:firstLine="0" w:firstLineChars="0"/>
      <w:jc w:val="center"/>
    </w:pPr>
    <w:rPr>
      <w:rFonts w:ascii="Times New Roman" w:hAnsi="Times New Roman" w:eastAsia="黑体" w:cstheme="majorBidi"/>
      <w:sz w:val="28"/>
      <w:szCs w:val="20"/>
    </w:rPr>
  </w:style>
  <w:style w:type="paragraph" w:styleId="10">
    <w:name w:val="Balloon Text"/>
    <w:basedOn w:val="1"/>
    <w:link w:val="32"/>
    <w:semiHidden/>
    <w:unhideWhenUsed/>
    <w:qFormat/>
    <w:uiPriority w:val="99"/>
    <w:pPr>
      <w:spacing w:line="240" w:lineRule="auto"/>
    </w:pPr>
    <w:rPr>
      <w:sz w:val="18"/>
      <w:szCs w:val="18"/>
    </w:rPr>
  </w:style>
  <w:style w:type="paragraph" w:styleId="11">
    <w:name w:val="footer"/>
    <w:basedOn w:val="1"/>
    <w:link w:val="34"/>
    <w:unhideWhenUsed/>
    <w:qFormat/>
    <w:uiPriority w:val="99"/>
    <w:pPr>
      <w:tabs>
        <w:tab w:val="center" w:pos="4153"/>
        <w:tab w:val="right" w:pos="8306"/>
      </w:tabs>
      <w:snapToGrid w:val="0"/>
      <w:spacing w:line="240" w:lineRule="atLeast"/>
      <w:jc w:val="left"/>
    </w:pPr>
    <w:rPr>
      <w:sz w:val="18"/>
      <w:szCs w:val="18"/>
    </w:rPr>
  </w:style>
  <w:style w:type="paragraph" w:styleId="12">
    <w:name w:val="header"/>
    <w:basedOn w:val="1"/>
    <w:link w:val="33"/>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3">
    <w:name w:val="toc 1"/>
    <w:basedOn w:val="1"/>
    <w:next w:val="1"/>
    <w:semiHidden/>
    <w:unhideWhenUsed/>
    <w:qFormat/>
    <w:uiPriority w:val="39"/>
    <w:pPr>
      <w:adjustRightInd w:val="0"/>
      <w:snapToGrid w:val="0"/>
      <w:ind w:firstLine="0" w:firstLineChars="0"/>
      <w:jc w:val="left"/>
    </w:pPr>
    <w:rPr>
      <w:rFonts w:ascii="Times New Roman" w:hAnsi="Times New Roman" w:eastAsia="黑体"/>
      <w:sz w:val="32"/>
    </w:rPr>
  </w:style>
  <w:style w:type="paragraph" w:styleId="14">
    <w:name w:val="toc 2"/>
    <w:basedOn w:val="1"/>
    <w:next w:val="1"/>
    <w:semiHidden/>
    <w:unhideWhenUsed/>
    <w:qFormat/>
    <w:uiPriority w:val="39"/>
    <w:pPr>
      <w:adjustRightInd w:val="0"/>
      <w:snapToGrid w:val="0"/>
      <w:ind w:firstLine="100" w:firstLineChars="100"/>
    </w:pPr>
    <w:rPr>
      <w:rFonts w:ascii="Times New Roman" w:hAnsi="Times New Roman" w:eastAsia="楷体"/>
      <w:sz w:val="32"/>
    </w:rPr>
  </w:style>
  <w:style w:type="paragraph" w:styleId="15">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table" w:styleId="17">
    <w:name w:val="Table Grid"/>
    <w:basedOn w:val="1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qFormat/>
    <w:uiPriority w:val="99"/>
    <w:rPr>
      <w:color w:val="136EC2"/>
      <w:u w:val="single"/>
    </w:rPr>
  </w:style>
  <w:style w:type="character" w:customStyle="1" w:styleId="21">
    <w:name w:val="D正文 Char"/>
    <w:basedOn w:val="18"/>
    <w:link w:val="7"/>
    <w:qFormat/>
    <w:uiPriority w:val="0"/>
    <w:rPr>
      <w:rFonts w:ascii="Times New Roman" w:hAnsi="Times New Roman" w:eastAsia="仿宋_GB2312" w:cs="Times New Roman"/>
      <w:color w:val="000000" w:themeColor="text1"/>
      <w:sz w:val="32"/>
      <w:szCs w:val="36"/>
      <w14:textFill>
        <w14:solidFill>
          <w14:schemeClr w14:val="tx1"/>
        </w14:solidFill>
      </w14:textFill>
    </w:rPr>
  </w:style>
  <w:style w:type="paragraph" w:customStyle="1" w:styleId="22">
    <w:name w:val="g 一"/>
    <w:basedOn w:val="4"/>
    <w:link w:val="23"/>
    <w:qFormat/>
    <w:uiPriority w:val="0"/>
    <w:pPr>
      <w:numPr>
        <w:ilvl w:val="0"/>
        <w:numId w:val="1"/>
      </w:numPr>
      <w:spacing w:line="560" w:lineRule="exact"/>
      <w:ind w:left="0" w:firstLine="198"/>
    </w:pPr>
    <w:rPr>
      <w:rFonts w:eastAsia="黑体"/>
    </w:rPr>
  </w:style>
  <w:style w:type="character" w:customStyle="1" w:styleId="23">
    <w:name w:val="g 一 Char"/>
    <w:basedOn w:val="24"/>
    <w:link w:val="22"/>
    <w:qFormat/>
    <w:uiPriority w:val="0"/>
    <w:rPr>
      <w:rFonts w:eastAsia="黑体" w:asciiTheme="majorHAnsi" w:hAnsiTheme="majorHAnsi" w:cstheme="majorBidi"/>
      <w:sz w:val="32"/>
      <w:szCs w:val="32"/>
    </w:rPr>
  </w:style>
  <w:style w:type="character" w:customStyle="1" w:styleId="24">
    <w:name w:val="标题 2 字符"/>
    <w:basedOn w:val="18"/>
    <w:link w:val="4"/>
    <w:qFormat/>
    <w:uiPriority w:val="9"/>
    <w:rPr>
      <w:rFonts w:ascii="Times New Roman" w:hAnsi="Times New Roman" w:eastAsia="楷体_GB2312" w:cstheme="majorBidi"/>
      <w:b/>
      <w:bCs/>
      <w:sz w:val="32"/>
      <w:szCs w:val="32"/>
    </w:rPr>
  </w:style>
  <w:style w:type="paragraph" w:customStyle="1" w:styleId="25">
    <w:name w:val="D 一"/>
    <w:basedOn w:val="3"/>
    <w:link w:val="26"/>
    <w:qFormat/>
    <w:uiPriority w:val="0"/>
    <w:pPr>
      <w:widowControl/>
      <w:ind w:firstLine="200" w:firstLineChars="200"/>
      <w:jc w:val="both"/>
    </w:pPr>
    <w:rPr>
      <w:rFonts w:eastAsia="黑体"/>
      <w:sz w:val="32"/>
    </w:rPr>
  </w:style>
  <w:style w:type="character" w:customStyle="1" w:styleId="26">
    <w:name w:val="D 一 Char"/>
    <w:basedOn w:val="24"/>
    <w:link w:val="25"/>
    <w:qFormat/>
    <w:uiPriority w:val="0"/>
    <w:rPr>
      <w:rFonts w:ascii="Times New Roman" w:hAnsi="Times New Roman" w:eastAsia="黑体" w:cstheme="majorBidi"/>
      <w:b w:val="0"/>
      <w:kern w:val="44"/>
      <w:sz w:val="32"/>
      <w:szCs w:val="44"/>
    </w:rPr>
  </w:style>
  <w:style w:type="character" w:customStyle="1" w:styleId="27">
    <w:name w:val="标题 3 字符"/>
    <w:basedOn w:val="18"/>
    <w:link w:val="5"/>
    <w:qFormat/>
    <w:uiPriority w:val="9"/>
    <w:rPr>
      <w:rFonts w:ascii="宋体" w:hAnsi="宋体" w:eastAsia="宋体" w:cs="宋体"/>
      <w:bCs/>
      <w:kern w:val="0"/>
      <w:sz w:val="28"/>
      <w:szCs w:val="27"/>
    </w:rPr>
  </w:style>
  <w:style w:type="paragraph" w:customStyle="1" w:styleId="28">
    <w:name w:val="D1或(1)"/>
    <w:basedOn w:val="5"/>
    <w:link w:val="29"/>
    <w:qFormat/>
    <w:uiPriority w:val="0"/>
    <w:pPr>
      <w:spacing w:before="0" w:beforeAutospacing="0" w:after="0" w:afterAutospacing="0"/>
      <w:jc w:val="both"/>
    </w:pPr>
    <w:rPr>
      <w:rFonts w:ascii="Times New Roman" w:hAnsi="Times New Roman" w:eastAsia="仿宋_GB2312"/>
      <w:sz w:val="32"/>
    </w:rPr>
  </w:style>
  <w:style w:type="character" w:customStyle="1" w:styleId="29">
    <w:name w:val="D1或(1) Char"/>
    <w:basedOn w:val="18"/>
    <w:link w:val="28"/>
    <w:qFormat/>
    <w:uiPriority w:val="0"/>
    <w:rPr>
      <w:rFonts w:ascii="Times New Roman" w:hAnsi="Times New Roman" w:eastAsia="仿宋_GB2312" w:cs="宋体"/>
      <w:bCs/>
      <w:kern w:val="0"/>
      <w:sz w:val="32"/>
      <w:szCs w:val="27"/>
    </w:rPr>
  </w:style>
  <w:style w:type="character" w:customStyle="1" w:styleId="30">
    <w:name w:val="标题 4 字符"/>
    <w:basedOn w:val="18"/>
    <w:link w:val="6"/>
    <w:qFormat/>
    <w:uiPriority w:val="9"/>
    <w:rPr>
      <w:rFonts w:ascii="Times New Roman" w:hAnsi="Times New Roman" w:eastAsia="黑体" w:cstheme="majorBidi"/>
      <w:b/>
      <w:bCs/>
      <w:color w:val="000000" w:themeColor="text1"/>
      <w:sz w:val="32"/>
      <w:szCs w:val="36"/>
      <w14:textFill>
        <w14:solidFill>
          <w14:schemeClr w14:val="tx1"/>
        </w14:solidFill>
      </w14:textFill>
    </w:rPr>
  </w:style>
  <w:style w:type="character" w:customStyle="1" w:styleId="31">
    <w:name w:val="标题 5 字符"/>
    <w:basedOn w:val="18"/>
    <w:link w:val="8"/>
    <w:semiHidden/>
    <w:qFormat/>
    <w:uiPriority w:val="9"/>
    <w:rPr>
      <w:rFonts w:ascii="Times New Roman" w:hAnsi="Times New Roman" w:eastAsia="仿宋"/>
      <w:b/>
      <w:bCs/>
      <w:sz w:val="28"/>
      <w:szCs w:val="28"/>
    </w:rPr>
  </w:style>
  <w:style w:type="character" w:customStyle="1" w:styleId="32">
    <w:name w:val="批注框文本 字符"/>
    <w:basedOn w:val="18"/>
    <w:link w:val="10"/>
    <w:semiHidden/>
    <w:qFormat/>
    <w:uiPriority w:val="99"/>
    <w:rPr>
      <w:rFonts w:ascii="Times New Roman" w:hAnsi="Times New Roman" w:eastAsia="仿宋"/>
      <w:sz w:val="18"/>
      <w:szCs w:val="18"/>
    </w:rPr>
  </w:style>
  <w:style w:type="character" w:customStyle="1" w:styleId="33">
    <w:name w:val="页眉 字符"/>
    <w:basedOn w:val="18"/>
    <w:link w:val="12"/>
    <w:qFormat/>
    <w:uiPriority w:val="99"/>
    <w:rPr>
      <w:rFonts w:ascii="Times New Roman" w:hAnsi="Times New Roman" w:eastAsia="仿宋"/>
      <w:sz w:val="18"/>
      <w:szCs w:val="18"/>
    </w:rPr>
  </w:style>
  <w:style w:type="character" w:customStyle="1" w:styleId="34">
    <w:name w:val="页脚 字符"/>
    <w:basedOn w:val="18"/>
    <w:link w:val="11"/>
    <w:qFormat/>
    <w:uiPriority w:val="99"/>
    <w:rPr>
      <w:rFonts w:ascii="Times New Roman" w:hAnsi="Times New Roman" w:eastAsia="仿宋"/>
      <w:sz w:val="18"/>
      <w:szCs w:val="18"/>
    </w:rPr>
  </w:style>
  <w:style w:type="paragraph" w:customStyle="1" w:styleId="35">
    <w:name w:val="D(一)"/>
    <w:basedOn w:val="4"/>
    <w:next w:val="4"/>
    <w:link w:val="36"/>
    <w:qFormat/>
    <w:uiPriority w:val="0"/>
    <w:pPr>
      <w:jc w:val="both"/>
    </w:pPr>
    <w:rPr>
      <w:b w:val="0"/>
    </w:rPr>
  </w:style>
  <w:style w:type="character" w:customStyle="1" w:styleId="36">
    <w:name w:val="D(一) Char"/>
    <w:basedOn w:val="18"/>
    <w:link w:val="35"/>
    <w:qFormat/>
    <w:uiPriority w:val="0"/>
    <w:rPr>
      <w:rFonts w:ascii="Times New Roman" w:hAnsi="Times New Roman" w:eastAsia="楷体_GB2312" w:cstheme="majorBidi"/>
      <w:bCs/>
      <w:sz w:val="32"/>
      <w:szCs w:val="32"/>
    </w:rPr>
  </w:style>
  <w:style w:type="character" w:customStyle="1" w:styleId="37">
    <w:name w:val="标题 1 字符"/>
    <w:basedOn w:val="18"/>
    <w:link w:val="3"/>
    <w:qFormat/>
    <w:uiPriority w:val="9"/>
    <w:rPr>
      <w:rFonts w:ascii="Times New Roman" w:hAnsi="Times New Roman" w:eastAsia="方正小标宋简体"/>
      <w:bCs/>
      <w:kern w:val="44"/>
      <w:sz w:val="44"/>
      <w:szCs w:val="44"/>
    </w:rPr>
  </w:style>
  <w:style w:type="table" w:customStyle="1" w:styleId="38">
    <w:name w:val="D表格"/>
    <w:basedOn w:val="17"/>
    <w:qFormat/>
    <w:uiPriority w:val="99"/>
    <w:pPr>
      <w:adjustRightInd w:val="0"/>
      <w:snapToGrid w:val="0"/>
      <w:jc w:val="center"/>
    </w:pPr>
    <w:rPr>
      <w:sz w:val="21"/>
    </w:rPr>
    <w:tblPr>
      <w:jc w:val="center"/>
      <w:tblBorders>
        <w:top w:val="single" w:color="auto" w:sz="12" w:space="0"/>
        <w:left w:val="single" w:color="auto" w:sz="12" w:space="0"/>
        <w:bottom w:val="single" w:color="auto" w:sz="12" w:space="0"/>
        <w:right w:val="single" w:color="auto" w:sz="12" w:space="0"/>
      </w:tblBorders>
    </w:tblPr>
    <w:trPr>
      <w:jc w:val="center"/>
    </w:trPr>
    <w:tcPr>
      <w:vAlign w:val="center"/>
    </w:tcPr>
  </w:style>
  <w:style w:type="paragraph" w:customStyle="1" w:styleId="39">
    <w:name w:val="g正文"/>
    <w:basedOn w:val="1"/>
    <w:link w:val="40"/>
    <w:qFormat/>
    <w:uiPriority w:val="0"/>
    <w:pPr>
      <w:snapToGrid w:val="0"/>
    </w:pPr>
    <w:rPr>
      <w:rFonts w:ascii="Times New Roman" w:hAnsi="Times New Roman" w:eastAsia="仿宋" w:cs="Times New Roman"/>
      <w:color w:val="000000" w:themeColor="text1"/>
      <w:sz w:val="32"/>
      <w:szCs w:val="36"/>
      <w:shd w:val="clear" w:color="auto" w:fill="FFFFFF"/>
      <w14:textFill>
        <w14:solidFill>
          <w14:schemeClr w14:val="tx1"/>
        </w14:solidFill>
      </w14:textFill>
    </w:rPr>
  </w:style>
  <w:style w:type="character" w:customStyle="1" w:styleId="40">
    <w:name w:val="g正文 Char"/>
    <w:basedOn w:val="18"/>
    <w:link w:val="39"/>
    <w:qFormat/>
    <w:uiPriority w:val="0"/>
    <w:rPr>
      <w:rFonts w:ascii="Times New Roman" w:hAnsi="Times New Roman" w:eastAsia="仿宋" w:cs="Times New Roman"/>
      <w:color w:val="000000" w:themeColor="text1"/>
      <w:sz w:val="32"/>
      <w:szCs w:val="36"/>
      <w14:textFill>
        <w14:solidFill>
          <w14:schemeClr w14:val="tx1"/>
        </w14:solidFill>
      </w14:textFill>
    </w:rPr>
  </w:style>
  <w:style w:type="paragraph" w:customStyle="1" w:styleId="41">
    <w:name w:val="w 一"/>
    <w:basedOn w:val="3"/>
    <w:link w:val="42"/>
    <w:qFormat/>
    <w:uiPriority w:val="0"/>
    <w:pPr>
      <w:widowControl/>
      <w:spacing w:before="50" w:beforeLines="50" w:after="50" w:afterLines="50"/>
      <w:jc w:val="left"/>
    </w:pPr>
    <w:rPr>
      <w:rFonts w:eastAsia="黑体" w:cstheme="majorBidi"/>
      <w:b/>
      <w:sz w:val="32"/>
    </w:rPr>
  </w:style>
  <w:style w:type="character" w:customStyle="1" w:styleId="42">
    <w:name w:val="w 一 Char"/>
    <w:basedOn w:val="24"/>
    <w:link w:val="41"/>
    <w:qFormat/>
    <w:uiPriority w:val="0"/>
    <w:rPr>
      <w:rFonts w:ascii="Times New Roman" w:hAnsi="Times New Roman" w:eastAsia="黑体" w:cstheme="majorBidi"/>
      <w:kern w:val="44"/>
      <w:sz w:val="32"/>
      <w:szCs w:val="44"/>
    </w:rPr>
  </w:style>
  <w:style w:type="paragraph" w:customStyle="1" w:styleId="43">
    <w:name w:val="g 1或(1)"/>
    <w:basedOn w:val="5"/>
    <w:link w:val="44"/>
    <w:qFormat/>
    <w:uiPriority w:val="0"/>
    <w:pPr>
      <w:spacing w:before="0" w:beforeAutospacing="0" w:after="0" w:afterAutospacing="0"/>
      <w:jc w:val="both"/>
    </w:pPr>
    <w:rPr>
      <w:rFonts w:ascii="Times New Roman" w:hAnsi="Times New Roman" w:eastAsia="仿宋"/>
      <w:sz w:val="32"/>
    </w:rPr>
  </w:style>
  <w:style w:type="character" w:customStyle="1" w:styleId="44">
    <w:name w:val="g 1或(1) Char"/>
    <w:basedOn w:val="18"/>
    <w:link w:val="43"/>
    <w:qFormat/>
    <w:uiPriority w:val="0"/>
    <w:rPr>
      <w:rFonts w:ascii="Times New Roman" w:hAnsi="Times New Roman" w:eastAsia="仿宋" w:cs="宋体"/>
      <w:b/>
      <w:bCs/>
      <w:kern w:val="0"/>
      <w:sz w:val="32"/>
      <w:szCs w:val="27"/>
    </w:rPr>
  </w:style>
  <w:style w:type="paragraph" w:customStyle="1" w:styleId="45">
    <w:name w:val="w(一)"/>
    <w:basedOn w:val="4"/>
    <w:next w:val="4"/>
    <w:link w:val="46"/>
    <w:qFormat/>
    <w:uiPriority w:val="0"/>
    <w:pPr>
      <w:spacing w:line="560" w:lineRule="exact"/>
    </w:pPr>
    <w:rPr>
      <w:rFonts w:eastAsia="楷体"/>
    </w:rPr>
  </w:style>
  <w:style w:type="character" w:customStyle="1" w:styleId="46">
    <w:name w:val="w(一) Char"/>
    <w:basedOn w:val="18"/>
    <w:link w:val="45"/>
    <w:qFormat/>
    <w:uiPriority w:val="0"/>
    <w:rPr>
      <w:rFonts w:eastAsia="楷体" w:asciiTheme="majorHAnsi" w:hAnsiTheme="majorHAnsi" w:cstheme="majorBidi"/>
      <w:b/>
      <w:bCs/>
      <w:sz w:val="32"/>
      <w:szCs w:val="32"/>
    </w:rPr>
  </w:style>
  <w:style w:type="table" w:customStyle="1" w:styleId="47">
    <w:name w:val="网格型1"/>
    <w:basedOn w:val="1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清单表 7 彩色 - 着色 31"/>
    <w:basedOn w:val="16"/>
    <w:qFormat/>
    <w:uiPriority w:val="52"/>
    <w:rPr>
      <w:color w:val="7C7C7C" w:themeColor="accent3" w:themeShade="BF"/>
      <w:szCs w:val="22"/>
    </w:r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9">
    <w:name w:val="D表格 Char"/>
    <w:basedOn w:val="40"/>
    <w:qFormat/>
    <w:uiPriority w:val="0"/>
    <w:rPr>
      <w:rFonts w:ascii="Times New Roman" w:hAnsi="Times New Roman" w:eastAsia="宋体" w:cs="Times New Roman"/>
      <w:color w:val="000000" w:themeColor="text1"/>
      <w:kern w:val="0"/>
      <w:sz w:val="30"/>
      <w:szCs w:val="30"/>
      <w14:textFill>
        <w14:solidFill>
          <w14:schemeClr w14:val="tx1"/>
        </w14:solidFill>
      </w14:textFill>
    </w:rPr>
  </w:style>
  <w:style w:type="table" w:customStyle="1" w:styleId="50">
    <w:name w:val="网格表 7 彩色 - 着色 61"/>
    <w:basedOn w:val="16"/>
    <w:qFormat/>
    <w:uiPriority w:val="52"/>
    <w:rPr>
      <w:color w:val="548235" w:themeColor="accent6" w:themeShade="BF"/>
      <w:szCs w:val="22"/>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51">
    <w:name w:val="清单表 7 彩色 - 着色 51"/>
    <w:basedOn w:val="16"/>
    <w:qFormat/>
    <w:uiPriority w:val="52"/>
    <w:rPr>
      <w:color w:val="2F5597" w:themeColor="accent5" w:themeShade="BF"/>
      <w:szCs w:val="22"/>
    </w:r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2">
    <w:name w:val="网格表 1 浅色 - 着色 51"/>
    <w:basedOn w:val="16"/>
    <w:qFormat/>
    <w:uiPriority w:val="46"/>
    <w:rPr>
      <w:szCs w:val="22"/>
    </w:rPr>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53">
    <w:name w:val="网格表 1 浅色1"/>
    <w:basedOn w:val="16"/>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styleId="54">
    <w:name w:val="List Paragraph"/>
    <w:basedOn w:val="1"/>
    <w:qFormat/>
    <w:uiPriority w:val="34"/>
    <w:pPr>
      <w:ind w:firstLine="420"/>
    </w:pPr>
    <w:rPr>
      <w:rFonts w:ascii="Times New Roman" w:hAnsi="Times New Roman" w:eastAsia="仿宋"/>
      <w:sz w:val="32"/>
      <w:szCs w:val="22"/>
    </w:rPr>
  </w:style>
  <w:style w:type="paragraph" w:customStyle="1" w:styleId="55">
    <w:name w:val="D题注"/>
    <w:basedOn w:val="1"/>
    <w:next w:val="1"/>
    <w:qFormat/>
    <w:uiPriority w:val="0"/>
    <w:pPr>
      <w:ind w:firstLine="0" w:firstLineChars="0"/>
      <w:jc w:val="center"/>
    </w:pPr>
    <w:rPr>
      <w:rFonts w:ascii="Times New Roman" w:hAnsi="Times New Roman" w:eastAsia="黑体"/>
      <w:sz w:val="28"/>
    </w:rPr>
  </w:style>
  <w:style w:type="table" w:customStyle="1" w:styleId="56">
    <w:name w:val="样式1"/>
    <w:basedOn w:val="16"/>
    <w:qFormat/>
    <w:uiPriority w:val="99"/>
    <w:rPr>
      <w:rFonts w:ascii="Times New Roman" w:hAnsi="Times New Roman" w:eastAsia="宋体"/>
    </w:rPr>
    <w:tblPr>
      <w:jc w:val="center"/>
    </w:tblPr>
    <w:trPr>
      <w:jc w:val="center"/>
    </w:trPr>
    <w:tcPr>
      <w:vAlign w:val="center"/>
    </w:tcPr>
  </w:style>
  <w:style w:type="paragraph" w:customStyle="1" w:styleId="57">
    <w:name w:val="TOC 标题1"/>
    <w:basedOn w:val="3"/>
    <w:next w:val="1"/>
    <w:unhideWhenUsed/>
    <w:qFormat/>
    <w:uiPriority w:val="39"/>
    <w:pPr>
      <w:widowControl/>
      <w:spacing w:before="24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4.jpeg"/><Relationship Id="rId32" Type="http://schemas.openxmlformats.org/officeDocument/2006/relationships/chart" Target="charts/chart18.xml"/><Relationship Id="rId31" Type="http://schemas.openxmlformats.org/officeDocument/2006/relationships/chart" Target="charts/chart17.xml"/><Relationship Id="rId30" Type="http://schemas.openxmlformats.org/officeDocument/2006/relationships/chart" Target="charts/chart16.xml"/><Relationship Id="rId3" Type="http://schemas.openxmlformats.org/officeDocument/2006/relationships/footnotes" Target="footnotes.xml"/><Relationship Id="rId29" Type="http://schemas.openxmlformats.org/officeDocument/2006/relationships/chart" Target="charts/chart15.xml"/><Relationship Id="rId28" Type="http://schemas.openxmlformats.org/officeDocument/2006/relationships/chart" Target="charts/chart14.xml"/><Relationship Id="rId27" Type="http://schemas.openxmlformats.org/officeDocument/2006/relationships/chart" Target="charts/chart13.xml"/><Relationship Id="rId26" Type="http://schemas.openxmlformats.org/officeDocument/2006/relationships/chart" Target="charts/chart12.xml"/><Relationship Id="rId25" Type="http://schemas.openxmlformats.org/officeDocument/2006/relationships/chart" Target="charts/chart11.xml"/><Relationship Id="rId24" Type="http://schemas.openxmlformats.org/officeDocument/2006/relationships/chart" Target="charts/chart10.xml"/><Relationship Id="rId23" Type="http://schemas.openxmlformats.org/officeDocument/2006/relationships/chart" Target="charts/chart9.xml"/><Relationship Id="rId22" Type="http://schemas.openxmlformats.org/officeDocument/2006/relationships/chart" Target="charts/chart8.xml"/><Relationship Id="rId21" Type="http://schemas.openxmlformats.org/officeDocument/2006/relationships/chart" Target="charts/chart7.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image" Target="media/image3.png"/><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dministrator\Documents\WeChat%20Files\leowizard116\FileStorage\File\2020-08\&#28023;&#23425;&#26609;&#29366;&#22270;&#25968;&#25454;%200807.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themeOverride" Target="../theme/themeOverride16.xml"/><Relationship Id="rId1" Type="http://schemas.openxmlformats.org/officeDocument/2006/relationships/oleObject" Target="file:///C:\Users\Administrator\Documents\WeChat%20Files\leowizard116\FileStorage\File\2020-08\&#28023;&#23425;&#26609;&#29366;&#22270;&#25968;&#25454;%200807.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C:\Users\aoc\AppData\Local\Temp\BNZ.5f309deb84975\&#28023;&#23425;&#26609;&#29366;&#22270;&#25968;&#25454;%200807.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8.xml"/><Relationship Id="rId3" Type="http://schemas.microsoft.com/office/2011/relationships/chartStyle" Target="style18.xml"/><Relationship Id="rId2" Type="http://schemas.openxmlformats.org/officeDocument/2006/relationships/themeOverride" Target="../theme/themeOverride17.xml"/><Relationship Id="rId1" Type="http://schemas.openxmlformats.org/officeDocument/2006/relationships/oleObject" Target="file:///C:\Users\aoc\AppData\Local\Temp\BNZ.5f309deb84975\&#28023;&#23425;&#26609;&#29366;&#22270;&#25968;&#25454;%200807.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5.xml"/><Relationship Id="rId1" Type="http://schemas.openxmlformats.org/officeDocument/2006/relationships/oleObject" Target="file:///C:\Users\LEOWIZ~1\AppData\Local\Temp\BNZ.5f300c465b0c78\&#28023;&#23425;&#26609;&#29366;&#22270;&#25968;&#25454;%200807.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oleObject" Target="file:///C:\Users\aoc\AppData\Local\Temp\BNZ.5f309deb84975\&#28023;&#23425;&#26609;&#29366;&#22270;&#25968;&#25454;%200807.xlsx" TargetMode="External"/></Relationships>
</file>

<file path=word/charts/_rels/chart15.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6.xml"/><Relationship Id="rId1" Type="http://schemas.openxmlformats.org/officeDocument/2006/relationships/oleObject" Target="file:///C:\Users\Administrator\Documents\WeChat%20Files\leowizard116\FileStorage\File\2020-08\&#28023;&#23425;&#26609;&#29366;&#22270;&#25968;&#25454;%200807.xlsx" TargetMode="External"/></Relationships>
</file>

<file path=word/charts/_rels/chart16.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7.xml"/><Relationship Id="rId1" Type="http://schemas.openxmlformats.org/officeDocument/2006/relationships/oleObject" Target="file:///C:\Users\aoc\AppData\Local\Temp\BNZ.5f309deb84975\&#28023;&#23425;&#26609;&#29366;&#22270;&#25968;&#25454;%200807.xlsx" TargetMode="External"/></Relationships>
</file>

<file path=word/charts/_rels/chart17.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oc\AppData\Local\Temp\BNZ.5f309deb84975\&#28023;&#23425;&#26609;&#29366;&#22270;&#25968;&#25454;%200807.xlsx" TargetMode="External"/></Relationships>
</file>

<file path=word/charts/_rels/chart18.xml.rels><?xml version="1.0" encoding="UTF-8" standalone="yes"?>
<Relationships xmlns="http://schemas.openxmlformats.org/package/2006/relationships"><Relationship Id="rId4" Type="http://schemas.microsoft.com/office/2011/relationships/chartColorStyle" Target="colors15.xml"/><Relationship Id="rId3" Type="http://schemas.microsoft.com/office/2011/relationships/chartStyle" Target="style15.xml"/><Relationship Id="rId2" Type="http://schemas.openxmlformats.org/officeDocument/2006/relationships/themeOverride" Target="../theme/themeOverride14.xml"/><Relationship Id="rId1" Type="http://schemas.openxmlformats.org/officeDocument/2006/relationships/oleObject" Target="file:///C:\Users\Administrator\Documents\WeChat%20Files\leowizard116\FileStorage\File\2020-08\&#28023;&#23425;&#26609;&#29366;&#22270;&#25968;&#25454;%200807.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8.xml"/><Relationship Id="rId1" Type="http://schemas.openxmlformats.org/officeDocument/2006/relationships/oleObject" Target="file:///C:\Users\Administrator\Documents\WeChat%20Files\leowizard116\FileStorage\File\2020-08\&#28023;&#23425;&#26609;&#29366;&#22270;&#25968;&#25454;%200807.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themeOverride" Target="../theme/themeOverride9.xml"/><Relationship Id="rId1" Type="http://schemas.openxmlformats.org/officeDocument/2006/relationships/oleObject" Target="file:///C:\Users\aoc\AppData\Local\Temp\BNZ.5f309deb84975\&#28023;&#23425;&#26609;&#29366;&#22270;&#25968;&#25454;%200807.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11.xml"/><Relationship Id="rId1" Type="http://schemas.openxmlformats.org/officeDocument/2006/relationships/oleObject" Target="file:///C:\Users\Administrator\Documents\WeChat%20Files\leowizard116\FileStorage\File\2020-08\&#28023;&#23425;&#26609;&#29366;&#22270;&#25968;&#25454;%200807.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10.xml"/><Relationship Id="rId1" Type="http://schemas.openxmlformats.org/officeDocument/2006/relationships/oleObject" Target="file:///C:\Users\Administrator\Documents\WeChat%20Files\leowizard116\FileStorage\File\2020-08\&#28023;&#23425;&#26609;&#29366;&#22270;&#25968;&#25454;%200807.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12.xml"/><Relationship Id="rId1" Type="http://schemas.openxmlformats.org/officeDocument/2006/relationships/oleObject" Target="file:///C:\Users\Administrator\Documents\WeChat%20Files\leowizard116\FileStorage\File\2020-08\&#28023;&#23425;&#26609;&#29366;&#22270;&#25968;&#25454;%200807.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themeOverride" Target="../theme/themeOverride13.xml"/><Relationship Id="rId1" Type="http://schemas.openxmlformats.org/officeDocument/2006/relationships/oleObject" Target="file:///C:\Users\aoc\AppData\Local\Temp\BNZ.5f309deb84975\&#28023;&#23425;&#26609;&#29366;&#22270;&#25968;&#25454;%200807.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C:\Users\aoc\AppData\Local\Temp\BNZ.5f309deb84975\&#28023;&#23425;&#26609;&#29366;&#22270;&#25968;&#25454;%200807.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themeOverride" Target="../theme/themeOverride15.xml"/><Relationship Id="rId1" Type="http://schemas.openxmlformats.org/officeDocument/2006/relationships/oleObject" Target="file:///C:\Users\Administrator\Documents\WeChat%20Files\leowizard116\FileStorage\File\2020-08\&#28023;&#23425;&#26609;&#29366;&#22270;&#25968;&#25454;%2008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286888888888889"/>
          <c:y val="0.0474537037037037"/>
          <c:w val="0.666791666666667"/>
          <c:h val="0.827777777777778"/>
        </c:manualLayout>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0807.xlsx]分析'!$B$2:$B$7</c:f>
              <c:strCache>
                <c:ptCount val="6"/>
                <c:pt idx="0">
                  <c:v>人才引进政策有吸引力</c:v>
                </c:pt>
                <c:pt idx="1">
                  <c:v>产业用地充足、便宜</c:v>
                </c:pt>
                <c:pt idx="2">
                  <c:v>公共服务水平高</c:v>
                </c:pt>
                <c:pt idx="3">
                  <c:v>就业创业机会多</c:v>
                </c:pt>
                <c:pt idx="4">
                  <c:v>生态环境优美</c:v>
                </c:pt>
                <c:pt idx="5">
                  <c:v>地理位置优越</c:v>
                </c:pt>
              </c:strCache>
            </c:strRef>
          </c:cat>
          <c:val>
            <c:numRef>
              <c:f>'[海宁柱状图数据 0807.xlsx]分析'!$C$2:$C$7</c:f>
              <c:numCache>
                <c:formatCode>0.0%</c:formatCode>
                <c:ptCount val="6"/>
                <c:pt idx="0">
                  <c:v>0.1492</c:v>
                </c:pt>
                <c:pt idx="1">
                  <c:v>0.2061</c:v>
                </c:pt>
                <c:pt idx="2">
                  <c:v>0.2528</c:v>
                </c:pt>
                <c:pt idx="3">
                  <c:v>0.4197</c:v>
                </c:pt>
                <c:pt idx="4">
                  <c:v>0.6365</c:v>
                </c:pt>
                <c:pt idx="5">
                  <c:v>0.756</c:v>
                </c:pt>
              </c:numCache>
            </c:numRef>
          </c:val>
        </c:ser>
        <c:dLbls>
          <c:showLegendKey val="false"/>
          <c:showVal val="true"/>
          <c:showCatName val="false"/>
          <c:showSerName val="false"/>
          <c:showPercent val="false"/>
          <c:showBubbleSize val="false"/>
        </c:dLbls>
        <c:gapWidth val="182"/>
        <c:axId val="798121552"/>
        <c:axId val="798121008"/>
      </c:barChart>
      <c:catAx>
        <c:axId val="798121552"/>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798121008"/>
        <c:crosses val="autoZero"/>
        <c:auto val="true"/>
        <c:lblAlgn val="ctr"/>
        <c:lblOffset val="100"/>
        <c:noMultiLvlLbl val="false"/>
      </c:catAx>
      <c:valAx>
        <c:axId val="798121008"/>
        <c:scaling>
          <c:orientation val="minMax"/>
          <c:max val="1"/>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798121552"/>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0807.xlsx]分析'!$B$83:$B$93</c:f>
              <c:strCache>
                <c:ptCount val="11"/>
                <c:pt idx="0">
                  <c:v>引进社会化品牌教育培训机构</c:v>
                </c:pt>
                <c:pt idx="1">
                  <c:v>提高教师福利待遇</c:v>
                </c:pt>
                <c:pt idx="2">
                  <c:v>提高公办幼儿园园比例</c:v>
                </c:pt>
                <c:pt idx="3">
                  <c:v>引进高水平教师、管理人才</c:v>
                </c:pt>
                <c:pt idx="4">
                  <c:v>大力发展线上教育和网络教育</c:v>
                </c:pt>
                <c:pt idx="5">
                  <c:v>便利外地来海宁人员子女入学</c:v>
                </c:pt>
                <c:pt idx="6">
                  <c:v>增加中小学校有效均衡供给</c:v>
                </c:pt>
                <c:pt idx="7">
                  <c:v>大力发展职业教育</c:v>
                </c:pt>
                <c:pt idx="8">
                  <c:v>吸引沪杭优质民办学校来海宁</c:v>
                </c:pt>
                <c:pt idx="9">
                  <c:v>提升教学质量，打造若干所名校</c:v>
                </c:pt>
                <c:pt idx="10">
                  <c:v>继续引进一流大学</c:v>
                </c:pt>
              </c:strCache>
            </c:strRef>
          </c:cat>
          <c:val>
            <c:numRef>
              <c:f>'[海宁柱状图数据 0807.xlsx]分析'!$C$83:$C$93</c:f>
              <c:numCache>
                <c:formatCode>0.0%</c:formatCode>
                <c:ptCount val="11"/>
                <c:pt idx="0">
                  <c:v>0.0468</c:v>
                </c:pt>
                <c:pt idx="1">
                  <c:v>0.0601</c:v>
                </c:pt>
                <c:pt idx="2">
                  <c:v>0.1719</c:v>
                </c:pt>
                <c:pt idx="3">
                  <c:v>0.232</c:v>
                </c:pt>
                <c:pt idx="4">
                  <c:v>0.2339</c:v>
                </c:pt>
                <c:pt idx="5">
                  <c:v>0.2592</c:v>
                </c:pt>
                <c:pt idx="6">
                  <c:v>0.2693</c:v>
                </c:pt>
                <c:pt idx="7">
                  <c:v>0.3015</c:v>
                </c:pt>
                <c:pt idx="8">
                  <c:v>0.3616</c:v>
                </c:pt>
                <c:pt idx="9">
                  <c:v>0.3635</c:v>
                </c:pt>
                <c:pt idx="10">
                  <c:v>0.409</c:v>
                </c:pt>
              </c:numCache>
            </c:numRef>
          </c:val>
        </c:ser>
        <c:dLbls>
          <c:showLegendKey val="false"/>
          <c:showVal val="true"/>
          <c:showCatName val="false"/>
          <c:showSerName val="false"/>
          <c:showPercent val="false"/>
          <c:showBubbleSize val="false"/>
        </c:dLbls>
        <c:gapWidth val="182"/>
        <c:axId val="697479840"/>
        <c:axId val="811310640"/>
      </c:barChart>
      <c:catAx>
        <c:axId val="697479840"/>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1310640"/>
        <c:crosses val="autoZero"/>
        <c:auto val="true"/>
        <c:lblAlgn val="ctr"/>
        <c:lblOffset val="100"/>
        <c:noMultiLvlLbl val="false"/>
      </c:catAx>
      <c:valAx>
        <c:axId val="811310640"/>
        <c:scaling>
          <c:orientation val="minMax"/>
          <c:max val="0.5"/>
          <c:min val="0"/>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697479840"/>
        <c:crosses val="autoZero"/>
        <c:crossBetween val="between"/>
        <c:majorUnit val="0.1"/>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分析!$B$95:$B$100</c:f>
              <c:strCache>
                <c:ptCount val="6"/>
                <c:pt idx="0">
                  <c:v>大力发展医养结合的养老方式</c:v>
                </c:pt>
                <c:pt idx="1">
                  <c:v>建设更多的专科医院</c:v>
                </c:pt>
                <c:pt idx="2">
                  <c:v>完善公共卫生防控体制机制</c:v>
                </c:pt>
                <c:pt idx="3">
                  <c:v>大力引进名医、名专家和名医团队</c:v>
                </c:pt>
                <c:pt idx="4">
                  <c:v>建设更多的高水平综合性医院</c:v>
                </c:pt>
                <c:pt idx="5">
                  <c:v>提高基层医疗卫生服务水平</c:v>
                </c:pt>
              </c:strCache>
            </c:strRef>
          </c:cat>
          <c:val>
            <c:numRef>
              <c:f>分析!$C$95:$C$100</c:f>
              <c:numCache>
                <c:formatCode>0.0%</c:formatCode>
                <c:ptCount val="6"/>
                <c:pt idx="0">
                  <c:v>0.3236</c:v>
                </c:pt>
                <c:pt idx="1">
                  <c:v>0.4033</c:v>
                </c:pt>
                <c:pt idx="2">
                  <c:v>0.4052</c:v>
                </c:pt>
                <c:pt idx="3">
                  <c:v>0.4273</c:v>
                </c:pt>
                <c:pt idx="4">
                  <c:v>0.4899</c:v>
                </c:pt>
                <c:pt idx="5">
                  <c:v>0.5247</c:v>
                </c:pt>
              </c:numCache>
            </c:numRef>
          </c:val>
        </c:ser>
        <c:dLbls>
          <c:showLegendKey val="false"/>
          <c:showVal val="true"/>
          <c:showCatName val="false"/>
          <c:showSerName val="false"/>
          <c:showPercent val="false"/>
          <c:showBubbleSize val="false"/>
        </c:dLbls>
        <c:gapWidth val="182"/>
        <c:axId val="811309552"/>
        <c:axId val="811303568"/>
      </c:barChart>
      <c:catAx>
        <c:axId val="811309552"/>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1303568"/>
        <c:crosses val="autoZero"/>
        <c:auto val="true"/>
        <c:lblAlgn val="ctr"/>
        <c:lblOffset val="100"/>
        <c:noMultiLvlLbl val="false"/>
      </c:catAx>
      <c:valAx>
        <c:axId val="811303568"/>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811309552"/>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分析!$B$102:$B$107</c:f>
              <c:strCache>
                <c:ptCount val="6"/>
                <c:pt idx="0">
                  <c:v>扩大高端商品房供给</c:v>
                </c:pt>
                <c:pt idx="1">
                  <c:v>提升老旧宅区居住环境</c:v>
                </c:pt>
                <c:pt idx="2">
                  <c:v>规划建设国际社区</c:v>
                </c:pt>
                <c:pt idx="3">
                  <c:v>加强住房安全隐患排查</c:v>
                </c:pt>
                <c:pt idx="4">
                  <c:v>扩大保障性住房供给</c:v>
                </c:pt>
                <c:pt idx="5">
                  <c:v>规范房地产市场秩序</c:v>
                </c:pt>
              </c:strCache>
            </c:strRef>
          </c:cat>
          <c:val>
            <c:numRef>
              <c:f>分析!$C$102:$C$107</c:f>
              <c:numCache>
                <c:formatCode>0.0%</c:formatCode>
                <c:ptCount val="6"/>
                <c:pt idx="0">
                  <c:v>0.3142</c:v>
                </c:pt>
                <c:pt idx="1">
                  <c:v>0.3578</c:v>
                </c:pt>
                <c:pt idx="2">
                  <c:v>0.3812</c:v>
                </c:pt>
                <c:pt idx="3">
                  <c:v>0.3995</c:v>
                </c:pt>
                <c:pt idx="4">
                  <c:v>0.4425</c:v>
                </c:pt>
                <c:pt idx="5">
                  <c:v>0.6397</c:v>
                </c:pt>
              </c:numCache>
            </c:numRef>
          </c:val>
        </c:ser>
        <c:dLbls>
          <c:showLegendKey val="false"/>
          <c:showVal val="true"/>
          <c:showCatName val="false"/>
          <c:showSerName val="false"/>
          <c:showPercent val="false"/>
          <c:showBubbleSize val="false"/>
        </c:dLbls>
        <c:gapWidth val="182"/>
        <c:axId val="811304112"/>
        <c:axId val="811305200"/>
      </c:barChart>
      <c:catAx>
        <c:axId val="811304112"/>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1305200"/>
        <c:crosses val="autoZero"/>
        <c:auto val="true"/>
        <c:lblAlgn val="ctr"/>
        <c:lblOffset val="100"/>
        <c:noMultiLvlLbl val="false"/>
      </c:catAx>
      <c:valAx>
        <c:axId val="811305200"/>
        <c:scaling>
          <c:orientation val="minMax"/>
          <c:max val="0.8"/>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811304112"/>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0807.xlsx]分析'!$B$109:$B$116</c:f>
              <c:strCache>
                <c:ptCount val="8"/>
                <c:pt idx="0">
                  <c:v>增加过江隧道</c:v>
                </c:pt>
                <c:pt idx="1">
                  <c:v>增加停车场</c:v>
                </c:pt>
                <c:pt idx="2">
                  <c:v>优化城区内部路网规划</c:v>
                </c:pt>
                <c:pt idx="3">
                  <c:v>增加海宁西站列车停靠班次</c:v>
                </c:pt>
                <c:pt idx="4">
                  <c:v>优化、增加公交线路</c:v>
                </c:pt>
                <c:pt idx="5">
                  <c:v>规划建设更多的高快速路</c:v>
                </c:pt>
                <c:pt idx="6">
                  <c:v>积极争取在海宁市区设立高铁站</c:v>
                </c:pt>
                <c:pt idx="7">
                  <c:v>加快建设杭海城际铁路接驳线</c:v>
                </c:pt>
              </c:strCache>
            </c:strRef>
          </c:cat>
          <c:val>
            <c:numRef>
              <c:f>'[海宁柱状图数据 0807.xlsx]分析'!$C$109:$C$116</c:f>
              <c:numCache>
                <c:formatCode>0.0%</c:formatCode>
                <c:ptCount val="8"/>
                <c:pt idx="0">
                  <c:v>0.1144</c:v>
                </c:pt>
                <c:pt idx="1">
                  <c:v>0.2105</c:v>
                </c:pt>
                <c:pt idx="2">
                  <c:v>0.237</c:v>
                </c:pt>
                <c:pt idx="3">
                  <c:v>0.2497</c:v>
                </c:pt>
                <c:pt idx="4">
                  <c:v>0.2661</c:v>
                </c:pt>
                <c:pt idx="5">
                  <c:v>0.5006</c:v>
                </c:pt>
                <c:pt idx="6">
                  <c:v>0.519</c:v>
                </c:pt>
                <c:pt idx="7">
                  <c:v>0.5619</c:v>
                </c:pt>
              </c:numCache>
            </c:numRef>
          </c:val>
        </c:ser>
        <c:dLbls>
          <c:showLegendKey val="false"/>
          <c:showVal val="true"/>
          <c:showCatName val="false"/>
          <c:showSerName val="false"/>
          <c:showPercent val="false"/>
          <c:showBubbleSize val="false"/>
        </c:dLbls>
        <c:gapWidth val="182"/>
        <c:axId val="811305744"/>
        <c:axId val="811306288"/>
      </c:barChart>
      <c:catAx>
        <c:axId val="811305744"/>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1306288"/>
        <c:crosses val="autoZero"/>
        <c:auto val="true"/>
        <c:lblAlgn val="ctr"/>
        <c:lblOffset val="100"/>
        <c:noMultiLvlLbl val="false"/>
      </c:catAx>
      <c:valAx>
        <c:axId val="811306288"/>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811305744"/>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分析!$B$118:$B$123</c:f>
              <c:strCache>
                <c:ptCount val="6"/>
                <c:pt idx="0">
                  <c:v>加快组织皮影戏、灯彩等传统文化活动</c:v>
                </c:pt>
                <c:pt idx="1">
                  <c:v>打造高端文体品牌活动</c:v>
                </c:pt>
                <c:pt idx="2">
                  <c:v>加快海宁市博物馆等改造升级</c:v>
                </c:pt>
                <c:pt idx="3">
                  <c:v>提升社区文化服务中心运营水平</c:v>
                </c:pt>
                <c:pt idx="4">
                  <c:v>发展具有海宁市特色的旅游项目</c:v>
                </c:pt>
                <c:pt idx="5">
                  <c:v>打造“十分钟文化服务圈”</c:v>
                </c:pt>
              </c:strCache>
            </c:strRef>
          </c:cat>
          <c:val>
            <c:numRef>
              <c:f>分析!$C$118:$C$123</c:f>
              <c:numCache>
                <c:formatCode>0.0%</c:formatCode>
                <c:ptCount val="6"/>
                <c:pt idx="0">
                  <c:v>0.3692</c:v>
                </c:pt>
                <c:pt idx="1">
                  <c:v>0.3761</c:v>
                </c:pt>
                <c:pt idx="2">
                  <c:v>0.3932</c:v>
                </c:pt>
                <c:pt idx="3">
                  <c:v>0.402</c:v>
                </c:pt>
                <c:pt idx="4">
                  <c:v>0.4463</c:v>
                </c:pt>
                <c:pt idx="5">
                  <c:v>0.5145</c:v>
                </c:pt>
              </c:numCache>
            </c:numRef>
          </c:val>
        </c:ser>
        <c:dLbls>
          <c:showLegendKey val="false"/>
          <c:showVal val="true"/>
          <c:showCatName val="false"/>
          <c:showSerName val="false"/>
          <c:showPercent val="false"/>
          <c:showBubbleSize val="false"/>
        </c:dLbls>
        <c:gapWidth val="182"/>
        <c:axId val="957181760"/>
        <c:axId val="957178496"/>
      </c:barChart>
      <c:catAx>
        <c:axId val="957181760"/>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957178496"/>
        <c:crosses val="autoZero"/>
        <c:auto val="true"/>
        <c:lblAlgn val="ctr"/>
        <c:lblOffset val="100"/>
        <c:noMultiLvlLbl val="false"/>
      </c:catAx>
      <c:valAx>
        <c:axId val="957178496"/>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957181760"/>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0807.xlsx]分析'!$B$125:$B$133</c:f>
              <c:strCache>
                <c:ptCount val="9"/>
                <c:pt idx="0">
                  <c:v>加强城中村综合治理</c:v>
                </c:pt>
                <c:pt idx="1">
                  <c:v>持续加强社会治安管控</c:v>
                </c:pt>
                <c:pt idx="2">
                  <c:v>加强公众隐私保护，打击网络诈骗</c:v>
                </c:pt>
                <c:pt idx="3">
                  <c:v>加强群众诉求服务和矛盾纠纷化解</c:v>
                </c:pt>
                <c:pt idx="4">
                  <c:v>健全防灾减灾救灾体制</c:v>
                </c:pt>
                <c:pt idx="5">
                  <c:v>鼓励群众全面深度参与社区治理</c:v>
                </c:pt>
                <c:pt idx="6">
                  <c:v>加强社会工作人才队伍建设</c:v>
                </c:pt>
                <c:pt idx="7">
                  <c:v>加强食品药品等城市安全监督管理</c:v>
                </c:pt>
                <c:pt idx="8">
                  <c:v>建设信息化、智能化的社会治理设施体系</c:v>
                </c:pt>
              </c:strCache>
            </c:strRef>
          </c:cat>
          <c:val>
            <c:numRef>
              <c:f>'[海宁柱状图数据 0807.xlsx]分析'!$C$125:$C$133</c:f>
              <c:numCache>
                <c:formatCode>0.0%</c:formatCode>
                <c:ptCount val="9"/>
                <c:pt idx="0">
                  <c:v>0.134</c:v>
                </c:pt>
                <c:pt idx="1">
                  <c:v>0.1498</c:v>
                </c:pt>
                <c:pt idx="2">
                  <c:v>0.2301</c:v>
                </c:pt>
                <c:pt idx="3">
                  <c:v>0.2617</c:v>
                </c:pt>
                <c:pt idx="4">
                  <c:v>0.2845</c:v>
                </c:pt>
                <c:pt idx="5">
                  <c:v>0.3129</c:v>
                </c:pt>
                <c:pt idx="6">
                  <c:v>0.3211</c:v>
                </c:pt>
                <c:pt idx="7">
                  <c:v>0.4431</c:v>
                </c:pt>
                <c:pt idx="8">
                  <c:v>0.4987</c:v>
                </c:pt>
              </c:numCache>
            </c:numRef>
          </c:val>
        </c:ser>
        <c:dLbls>
          <c:showLegendKey val="false"/>
          <c:showVal val="true"/>
          <c:showCatName val="false"/>
          <c:showSerName val="false"/>
          <c:showPercent val="false"/>
          <c:showBubbleSize val="false"/>
        </c:dLbls>
        <c:gapWidth val="182"/>
        <c:axId val="957180128"/>
        <c:axId val="957182304"/>
      </c:barChart>
      <c:catAx>
        <c:axId val="957180128"/>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957182304"/>
        <c:crosses val="autoZero"/>
        <c:auto val="true"/>
        <c:lblAlgn val="ctr"/>
        <c:lblOffset val="100"/>
        <c:noMultiLvlLbl val="false"/>
      </c:catAx>
      <c:valAx>
        <c:axId val="957182304"/>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957180128"/>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分析!$B$135:$B$139</c:f>
              <c:strCache>
                <c:ptCount val="5"/>
                <c:pt idx="0">
                  <c:v>推进节能减排，落实排污管控</c:v>
                </c:pt>
                <c:pt idx="1">
                  <c:v>加强城区绿地公园建设</c:v>
                </c:pt>
                <c:pt idx="2">
                  <c:v>落实生活垃圾分类、无害化处理</c:v>
                </c:pt>
                <c:pt idx="3">
                  <c:v>加强大气、土壤、噪声污染整治</c:v>
                </c:pt>
                <c:pt idx="4">
                  <c:v>加强水系、森林等生态保护修复</c:v>
                </c:pt>
              </c:strCache>
            </c:strRef>
          </c:cat>
          <c:val>
            <c:numRef>
              <c:f>分析!$C$135:$C$139</c:f>
              <c:numCache>
                <c:formatCode>0.0%</c:formatCode>
                <c:ptCount val="5"/>
                <c:pt idx="0">
                  <c:v>0.2845</c:v>
                </c:pt>
                <c:pt idx="1">
                  <c:v>0.493</c:v>
                </c:pt>
                <c:pt idx="2">
                  <c:v>0.5341</c:v>
                </c:pt>
                <c:pt idx="3">
                  <c:v>0.5613</c:v>
                </c:pt>
                <c:pt idx="4">
                  <c:v>0.6618</c:v>
                </c:pt>
              </c:numCache>
            </c:numRef>
          </c:val>
        </c:ser>
        <c:dLbls>
          <c:showLegendKey val="false"/>
          <c:showVal val="true"/>
          <c:showCatName val="false"/>
          <c:showSerName val="false"/>
          <c:showPercent val="false"/>
          <c:showBubbleSize val="false"/>
        </c:dLbls>
        <c:gapWidth val="182"/>
        <c:axId val="957183392"/>
        <c:axId val="957183936"/>
      </c:barChart>
      <c:catAx>
        <c:axId val="957183392"/>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957183936"/>
        <c:crosses val="autoZero"/>
        <c:auto val="true"/>
        <c:lblAlgn val="ctr"/>
        <c:lblOffset val="100"/>
        <c:noMultiLvlLbl val="false"/>
      </c:catAx>
      <c:valAx>
        <c:axId val="957183936"/>
        <c:scaling>
          <c:orientation val="minMax"/>
          <c:max val="0.8"/>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957183392"/>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分析!$B$141:$B$146</c:f>
              <c:strCache>
                <c:ptCount val="6"/>
                <c:pt idx="0">
                  <c:v>推进马桥、斜桥、丁桥“三桥”联动</c:v>
                </c:pt>
                <c:pt idx="1">
                  <c:v>加快出口转内销，拓展国内市场布局</c:v>
                </c:pt>
                <c:pt idx="2">
                  <c:v>推进体制机制创新，发展杭海新区</c:v>
                </c:pt>
                <c:pt idx="3">
                  <c:v>提高出口产品附加值</c:v>
                </c:pt>
                <c:pt idx="4">
                  <c:v>开展国际合作，吸引外资企业</c:v>
                </c:pt>
                <c:pt idx="5">
                  <c:v>深化沪杭合作融入长三角一体化</c:v>
                </c:pt>
              </c:strCache>
            </c:strRef>
          </c:cat>
          <c:val>
            <c:numRef>
              <c:f>分析!$C$141:$C$146</c:f>
              <c:numCache>
                <c:formatCode>0.0%</c:formatCode>
                <c:ptCount val="6"/>
                <c:pt idx="0">
                  <c:v>0.2528</c:v>
                </c:pt>
                <c:pt idx="1">
                  <c:v>0.3154</c:v>
                </c:pt>
                <c:pt idx="2">
                  <c:v>0.4115</c:v>
                </c:pt>
                <c:pt idx="3">
                  <c:v>0.4317</c:v>
                </c:pt>
                <c:pt idx="4">
                  <c:v>0.4652</c:v>
                </c:pt>
                <c:pt idx="5">
                  <c:v>0.6694</c:v>
                </c:pt>
              </c:numCache>
            </c:numRef>
          </c:val>
        </c:ser>
        <c:dLbls>
          <c:showLegendKey val="false"/>
          <c:showVal val="true"/>
          <c:showCatName val="false"/>
          <c:showSerName val="false"/>
          <c:showPercent val="false"/>
          <c:showBubbleSize val="false"/>
        </c:dLbls>
        <c:gapWidth val="182"/>
        <c:axId val="957177952"/>
        <c:axId val="813849264"/>
      </c:barChart>
      <c:catAx>
        <c:axId val="957177952"/>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3849264"/>
        <c:crosses val="autoZero"/>
        <c:auto val="true"/>
        <c:lblAlgn val="ctr"/>
        <c:lblOffset val="100"/>
        <c:noMultiLvlLbl val="false"/>
      </c:catAx>
      <c:valAx>
        <c:axId val="813849264"/>
        <c:scaling>
          <c:orientation val="minMax"/>
          <c:max val="0.8"/>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957177952"/>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0807.xlsx]分析'!$B$148:$B$154</c:f>
              <c:strCache>
                <c:ptCount val="7"/>
                <c:pt idx="0">
                  <c:v>发挥民营经济先发优势</c:v>
                </c:pt>
                <c:pt idx="1">
                  <c:v>加快政府数字化转型</c:v>
                </c:pt>
                <c:pt idx="2">
                  <c:v>破除人才流动的区域限制</c:v>
                </c:pt>
                <c:pt idx="3">
                  <c:v>深化土地要素市场化配置改革</c:v>
                </c:pt>
                <c:pt idx="4">
                  <c:v>主动开展营商环境与沪杭对标</c:v>
                </c:pt>
                <c:pt idx="5">
                  <c:v>深化教育医疗等民生领域改革</c:v>
                </c:pt>
                <c:pt idx="6">
                  <c:v>深化“最多跑一次”改革</c:v>
                </c:pt>
              </c:strCache>
            </c:strRef>
          </c:cat>
          <c:val>
            <c:numRef>
              <c:f>'[海宁柱状图数据 0807.xlsx]分析'!$C$148:$C$154</c:f>
              <c:numCache>
                <c:formatCode>0.0%</c:formatCode>
                <c:ptCount val="7"/>
                <c:pt idx="0">
                  <c:v>0.1618</c:v>
                </c:pt>
                <c:pt idx="1">
                  <c:v>0.1928</c:v>
                </c:pt>
                <c:pt idx="2">
                  <c:v>0.2946</c:v>
                </c:pt>
                <c:pt idx="3">
                  <c:v>0.3881</c:v>
                </c:pt>
                <c:pt idx="4">
                  <c:v>0.4551</c:v>
                </c:pt>
                <c:pt idx="5">
                  <c:v>0.5095</c:v>
                </c:pt>
                <c:pt idx="6">
                  <c:v>0.5442</c:v>
                </c:pt>
              </c:numCache>
            </c:numRef>
          </c:val>
        </c:ser>
        <c:dLbls>
          <c:showLegendKey val="false"/>
          <c:showVal val="true"/>
          <c:showCatName val="false"/>
          <c:showSerName val="false"/>
          <c:showPercent val="false"/>
          <c:showBubbleSize val="false"/>
        </c:dLbls>
        <c:gapWidth val="182"/>
        <c:axId val="813850352"/>
        <c:axId val="813850896"/>
      </c:barChart>
      <c:catAx>
        <c:axId val="813850352"/>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3850896"/>
        <c:crosses val="autoZero"/>
        <c:auto val="true"/>
        <c:lblAlgn val="ctr"/>
        <c:lblOffset val="100"/>
        <c:noMultiLvlLbl val="false"/>
      </c:catAx>
      <c:valAx>
        <c:axId val="813850896"/>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813850352"/>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0807.xlsx]分析'!$B$9:$B$19</c:f>
              <c:strCache>
                <c:ptCount val="11"/>
                <c:pt idx="0">
                  <c:v>住房保障供给</c:v>
                </c:pt>
                <c:pt idx="1">
                  <c:v>文体旅游氛围</c:v>
                </c:pt>
                <c:pt idx="2">
                  <c:v>医疗卫生水平</c:v>
                </c:pt>
                <c:pt idx="3">
                  <c:v>教育教学质量</c:v>
                </c:pt>
                <c:pt idx="4">
                  <c:v>公共安全保障</c:v>
                </c:pt>
                <c:pt idx="5">
                  <c:v>就业和收入分配</c:v>
                </c:pt>
                <c:pt idx="6">
                  <c:v>生态环境改善</c:v>
                </c:pt>
                <c:pt idx="7">
                  <c:v>科技创新能力</c:v>
                </c:pt>
                <c:pt idx="8">
                  <c:v>交通出行便捷性</c:v>
                </c:pt>
                <c:pt idx="9">
                  <c:v>经济发展水平</c:v>
                </c:pt>
                <c:pt idx="10">
                  <c:v>城市形象提升</c:v>
                </c:pt>
              </c:strCache>
            </c:strRef>
          </c:cat>
          <c:val>
            <c:numRef>
              <c:f>'[海宁柱状图数据 0807.xlsx]分析'!$C$9:$C$19</c:f>
              <c:numCache>
                <c:formatCode>0.0%</c:formatCode>
                <c:ptCount val="11"/>
                <c:pt idx="0">
                  <c:v>0.0531</c:v>
                </c:pt>
                <c:pt idx="1">
                  <c:v>0.0645</c:v>
                </c:pt>
                <c:pt idx="2">
                  <c:v>0.0942</c:v>
                </c:pt>
                <c:pt idx="3">
                  <c:v>0.1258</c:v>
                </c:pt>
                <c:pt idx="4">
                  <c:v>0.1353</c:v>
                </c:pt>
                <c:pt idx="5">
                  <c:v>0.1435</c:v>
                </c:pt>
                <c:pt idx="6">
                  <c:v>0.2484</c:v>
                </c:pt>
                <c:pt idx="7">
                  <c:v>0.292</c:v>
                </c:pt>
                <c:pt idx="8">
                  <c:v>0.4501</c:v>
                </c:pt>
                <c:pt idx="9">
                  <c:v>0.5013</c:v>
                </c:pt>
                <c:pt idx="10">
                  <c:v>0.5607</c:v>
                </c:pt>
              </c:numCache>
            </c:numRef>
          </c:val>
        </c:ser>
        <c:dLbls>
          <c:showLegendKey val="false"/>
          <c:showVal val="true"/>
          <c:showCatName val="false"/>
          <c:showSerName val="false"/>
          <c:showPercent val="false"/>
          <c:showBubbleSize val="false"/>
        </c:dLbls>
        <c:gapWidth val="182"/>
        <c:axId val="798116656"/>
        <c:axId val="798118832"/>
      </c:barChart>
      <c:catAx>
        <c:axId val="798116656"/>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798118832"/>
        <c:crosses val="autoZero"/>
        <c:auto val="true"/>
        <c:lblAlgn val="ctr"/>
        <c:lblOffset val="100"/>
        <c:noMultiLvlLbl val="false"/>
      </c:catAx>
      <c:valAx>
        <c:axId val="798118832"/>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798116656"/>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分析!$B$21:$B$30</c:f>
              <c:strCache>
                <c:ptCount val="10"/>
                <c:pt idx="0">
                  <c:v>购物娱乐配套设施少</c:v>
                </c:pt>
                <c:pt idx="1">
                  <c:v>缺乏标志性建筑</c:v>
                </c:pt>
                <c:pt idx="2">
                  <c:v>养老基础设施不足</c:v>
                </c:pt>
                <c:pt idx="3">
                  <c:v>投资创业和营商环境不佳</c:v>
                </c:pt>
                <c:pt idx="4">
                  <c:v>老百姓看病难、贵</c:v>
                </c:pt>
                <c:pt idx="5">
                  <c:v>企业创新驱动能力不足</c:v>
                </c:pt>
                <c:pt idx="6">
                  <c:v>缺乏研发设计等服务业</c:v>
                </c:pt>
                <c:pt idx="7">
                  <c:v>优质教育资源不足</c:v>
                </c:pt>
                <c:pt idx="8">
                  <c:v>交通出行不便、拥堵</c:v>
                </c:pt>
                <c:pt idx="9">
                  <c:v>中高端人才的吸引力不强</c:v>
                </c:pt>
              </c:strCache>
            </c:strRef>
          </c:cat>
          <c:val>
            <c:numRef>
              <c:f>分析!$C$21:$C$30</c:f>
              <c:numCache>
                <c:formatCode>0.0%</c:formatCode>
                <c:ptCount val="10"/>
                <c:pt idx="0">
                  <c:v>0.1561</c:v>
                </c:pt>
                <c:pt idx="1">
                  <c:v>0.1574</c:v>
                </c:pt>
                <c:pt idx="2">
                  <c:v>0.1643</c:v>
                </c:pt>
                <c:pt idx="3">
                  <c:v>0.2137</c:v>
                </c:pt>
                <c:pt idx="4">
                  <c:v>0.2212</c:v>
                </c:pt>
                <c:pt idx="5">
                  <c:v>0.3217</c:v>
                </c:pt>
                <c:pt idx="6">
                  <c:v>0.3268</c:v>
                </c:pt>
                <c:pt idx="7">
                  <c:v>0.33</c:v>
                </c:pt>
                <c:pt idx="8">
                  <c:v>0.3515</c:v>
                </c:pt>
                <c:pt idx="9">
                  <c:v>0.4109</c:v>
                </c:pt>
              </c:numCache>
            </c:numRef>
          </c:val>
        </c:ser>
        <c:dLbls>
          <c:showLegendKey val="false"/>
          <c:showVal val="true"/>
          <c:showCatName val="false"/>
          <c:showSerName val="false"/>
          <c:showPercent val="false"/>
          <c:showBubbleSize val="false"/>
        </c:dLbls>
        <c:gapWidth val="182"/>
        <c:axId val="950768960"/>
        <c:axId val="816054080"/>
      </c:barChart>
      <c:catAx>
        <c:axId val="950768960"/>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6054080"/>
        <c:crosses val="autoZero"/>
        <c:auto val="true"/>
        <c:lblAlgn val="ctr"/>
        <c:lblOffset val="100"/>
        <c:noMultiLvlLbl val="false"/>
      </c:catAx>
      <c:valAx>
        <c:axId val="816054080"/>
        <c:scaling>
          <c:orientation val="minMax"/>
          <c:max val="0.5"/>
          <c:min val="0"/>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950768960"/>
        <c:crosses val="autoZero"/>
        <c:crossBetween val="between"/>
        <c:majorUnit val="0.1"/>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0807.xlsx]分析'!$B$32:$B$38</c:f>
              <c:strCache>
                <c:ptCount val="7"/>
                <c:pt idx="0">
                  <c:v>弘扬潮文化、名人文化、灯文化</c:v>
                </c:pt>
                <c:pt idx="1">
                  <c:v>加快发展战略性新兴产业</c:v>
                </c:pt>
                <c:pt idx="2">
                  <c:v>大力集聚一流人才和创新团队</c:v>
                </c:pt>
                <c:pt idx="3">
                  <c:v>加强规划管理和空间用地保障</c:v>
                </c:pt>
                <c:pt idx="4">
                  <c:v>完善交通基础设施建设</c:v>
                </c:pt>
                <c:pt idx="5">
                  <c:v>加强与杭州、上海联动</c:v>
                </c:pt>
                <c:pt idx="6">
                  <c:v>建设一流公共服务配套</c:v>
                </c:pt>
              </c:strCache>
            </c:strRef>
          </c:cat>
          <c:val>
            <c:numRef>
              <c:f>'[海宁柱状图数据 0807.xlsx]分析'!$C$32:$C$38</c:f>
              <c:numCache>
                <c:formatCode>0.0%</c:formatCode>
                <c:ptCount val="7"/>
                <c:pt idx="0">
                  <c:v>0.17</c:v>
                </c:pt>
                <c:pt idx="1">
                  <c:v>0.2383</c:v>
                </c:pt>
                <c:pt idx="2">
                  <c:v>0.3357</c:v>
                </c:pt>
                <c:pt idx="3">
                  <c:v>0.3982</c:v>
                </c:pt>
                <c:pt idx="4">
                  <c:v>0.4608</c:v>
                </c:pt>
                <c:pt idx="5">
                  <c:v>0.5386</c:v>
                </c:pt>
                <c:pt idx="6">
                  <c:v>0.5474</c:v>
                </c:pt>
              </c:numCache>
            </c:numRef>
          </c:val>
        </c:ser>
        <c:dLbls>
          <c:showLegendKey val="false"/>
          <c:showVal val="true"/>
          <c:showCatName val="false"/>
          <c:showSerName val="false"/>
          <c:showPercent val="false"/>
          <c:showBubbleSize val="false"/>
        </c:dLbls>
        <c:gapWidth val="182"/>
        <c:axId val="816052992"/>
        <c:axId val="816056800"/>
      </c:barChart>
      <c:catAx>
        <c:axId val="816052992"/>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6056800"/>
        <c:crosses val="autoZero"/>
        <c:auto val="true"/>
        <c:lblAlgn val="ctr"/>
        <c:lblOffset val="100"/>
        <c:noMultiLvlLbl val="false"/>
      </c:catAx>
      <c:valAx>
        <c:axId val="816056800"/>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816052992"/>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0807.xlsx]分析'!$B$40:$B$46</c:f>
              <c:strCache>
                <c:ptCount val="7"/>
                <c:pt idx="0">
                  <c:v>举办国际科技论坛等高水平交流活动</c:v>
                </c:pt>
                <c:pt idx="1">
                  <c:v>加强知识产权创造、保护和运用</c:v>
                </c:pt>
                <c:pt idx="2">
                  <c:v>发展鹃湖国际科技城</c:v>
                </c:pt>
                <c:pt idx="3">
                  <c:v>提高重大科技基础设施、平台载体共享效率</c:v>
                </c:pt>
                <c:pt idx="4">
                  <c:v>加大科技创新和技术人才补贴力度</c:v>
                </c:pt>
                <c:pt idx="5">
                  <c:v>加大科研创新创业载体平台供给</c:v>
                </c:pt>
                <c:pt idx="6">
                  <c:v>搭建产学研合作的平台</c:v>
                </c:pt>
              </c:strCache>
            </c:strRef>
          </c:cat>
          <c:val>
            <c:numRef>
              <c:f>'[海宁柱状图数据 0807.xlsx]分析'!$C$40:$C$46</c:f>
              <c:numCache>
                <c:formatCode>0.0%</c:formatCode>
                <c:ptCount val="7"/>
                <c:pt idx="0">
                  <c:v>0.158</c:v>
                </c:pt>
                <c:pt idx="1">
                  <c:v>0.196</c:v>
                </c:pt>
                <c:pt idx="2">
                  <c:v>0.2295</c:v>
                </c:pt>
                <c:pt idx="3">
                  <c:v>0.4185</c:v>
                </c:pt>
                <c:pt idx="4">
                  <c:v>0.5019</c:v>
                </c:pt>
                <c:pt idx="5">
                  <c:v>0.5139</c:v>
                </c:pt>
                <c:pt idx="6">
                  <c:v>0.5954</c:v>
                </c:pt>
              </c:numCache>
            </c:numRef>
          </c:val>
        </c:ser>
        <c:dLbls>
          <c:showLegendKey val="false"/>
          <c:showVal val="true"/>
          <c:showCatName val="false"/>
          <c:showSerName val="false"/>
          <c:showPercent val="false"/>
          <c:showBubbleSize val="false"/>
        </c:dLbls>
        <c:gapWidth val="182"/>
        <c:axId val="816053536"/>
        <c:axId val="816052448"/>
      </c:barChart>
      <c:catAx>
        <c:axId val="816053536"/>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6052448"/>
        <c:crosses val="autoZero"/>
        <c:auto val="true"/>
        <c:lblAlgn val="ctr"/>
        <c:lblOffset val="100"/>
        <c:noMultiLvlLbl val="false"/>
      </c:catAx>
      <c:valAx>
        <c:axId val="816052448"/>
        <c:scaling>
          <c:orientation val="minMax"/>
          <c:max val="0.8"/>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816053536"/>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0807.xlsx]分析'!$B$48:$B$54</c:f>
              <c:strCache>
                <c:ptCount val="7"/>
                <c:pt idx="0">
                  <c:v>建设国际化的人才社区</c:v>
                </c:pt>
                <c:pt idx="1">
                  <c:v>加快推进人才服务市场化进程</c:v>
                </c:pt>
                <c:pt idx="2">
                  <c:v>设立针对高端人才的荣誉表彰</c:v>
                </c:pt>
                <c:pt idx="3">
                  <c:v>提高针对人才的公共服务供给水平</c:v>
                </c:pt>
                <c:pt idx="4">
                  <c:v>探索与国际接轨的人才评价、薪酬体系</c:v>
                </c:pt>
                <c:pt idx="5">
                  <c:v>加大对人才的资金奖励力度</c:v>
                </c:pt>
                <c:pt idx="6">
                  <c:v>提供更有吸引力的平台和岗位</c:v>
                </c:pt>
              </c:strCache>
            </c:strRef>
          </c:cat>
          <c:val>
            <c:numRef>
              <c:f>'[海宁柱状图数据 0807.xlsx]分析'!$C$48:$C$54</c:f>
              <c:numCache>
                <c:formatCode>0.0%</c:formatCode>
                <c:ptCount val="7"/>
                <c:pt idx="0">
                  <c:v>0.182</c:v>
                </c:pt>
                <c:pt idx="1">
                  <c:v>0.2111</c:v>
                </c:pt>
                <c:pt idx="2">
                  <c:v>0.2332</c:v>
                </c:pt>
                <c:pt idx="3">
                  <c:v>0.433</c:v>
                </c:pt>
                <c:pt idx="4">
                  <c:v>0.4703</c:v>
                </c:pt>
                <c:pt idx="5">
                  <c:v>0.5253</c:v>
                </c:pt>
                <c:pt idx="6">
                  <c:v>0.5405</c:v>
                </c:pt>
              </c:numCache>
            </c:numRef>
          </c:val>
        </c:ser>
        <c:dLbls>
          <c:showLegendKey val="false"/>
          <c:showVal val="true"/>
          <c:showCatName val="false"/>
          <c:showSerName val="false"/>
          <c:showPercent val="false"/>
          <c:showBubbleSize val="false"/>
        </c:dLbls>
        <c:gapWidth val="182"/>
        <c:axId val="816055168"/>
        <c:axId val="816055712"/>
      </c:barChart>
      <c:catAx>
        <c:axId val="816055168"/>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816055712"/>
        <c:crosses val="autoZero"/>
        <c:auto val="true"/>
        <c:lblAlgn val="ctr"/>
        <c:lblOffset val="100"/>
        <c:noMultiLvlLbl val="false"/>
      </c:catAx>
      <c:valAx>
        <c:axId val="816055712"/>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816055168"/>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分析!$B$56:$B$64</c:f>
              <c:strCache>
                <c:ptCount val="9"/>
                <c:pt idx="0">
                  <c:v>推进先进制造和现代服务跨界融合发展</c:v>
                </c:pt>
                <c:pt idx="1">
                  <c:v>完善企业所需的生产性服务业</c:v>
                </c:pt>
                <c:pt idx="2">
                  <c:v>加大企业人才引进和招工用工支持</c:v>
                </c:pt>
                <c:pt idx="3">
                  <c:v>加大创新型产业用房供给</c:v>
                </c:pt>
                <c:pt idx="4">
                  <c:v>完善商贸、文化、旅游等生活性服务业</c:v>
                </c:pt>
                <c:pt idx="5">
                  <c:v>培育引进若干行业龙头企业</c:v>
                </c:pt>
                <c:pt idx="6">
                  <c:v>加大对中小企业成长的扶持力度</c:v>
                </c:pt>
                <c:pt idx="7">
                  <c:v>推动皮革等时尚产业向营销、设计延伸</c:v>
                </c:pt>
                <c:pt idx="8">
                  <c:v>培育泛半导体现代产业集群</c:v>
                </c:pt>
              </c:strCache>
            </c:strRef>
          </c:cat>
          <c:val>
            <c:numRef>
              <c:f>分析!$C$56:$C$64</c:f>
              <c:numCache>
                <c:formatCode>0.0%</c:formatCode>
                <c:ptCount val="9"/>
                <c:pt idx="0">
                  <c:v>0.1258</c:v>
                </c:pt>
                <c:pt idx="1">
                  <c:v>0.1637</c:v>
                </c:pt>
                <c:pt idx="2">
                  <c:v>0.165</c:v>
                </c:pt>
                <c:pt idx="3">
                  <c:v>0.201</c:v>
                </c:pt>
                <c:pt idx="4">
                  <c:v>0.2604</c:v>
                </c:pt>
                <c:pt idx="5">
                  <c:v>0.3489</c:v>
                </c:pt>
                <c:pt idx="6">
                  <c:v>0.4387</c:v>
                </c:pt>
                <c:pt idx="7">
                  <c:v>0.4475</c:v>
                </c:pt>
                <c:pt idx="8">
                  <c:v>0.5051</c:v>
                </c:pt>
              </c:numCache>
            </c:numRef>
          </c:val>
        </c:ser>
        <c:dLbls>
          <c:showLegendKey val="false"/>
          <c:showVal val="true"/>
          <c:showCatName val="false"/>
          <c:showSerName val="false"/>
          <c:showPercent val="false"/>
          <c:showBubbleSize val="false"/>
        </c:dLbls>
        <c:gapWidth val="182"/>
        <c:axId val="697483104"/>
        <c:axId val="697483648"/>
      </c:barChart>
      <c:catAx>
        <c:axId val="697483104"/>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697483648"/>
        <c:crosses val="autoZero"/>
        <c:auto val="true"/>
        <c:lblAlgn val="ctr"/>
        <c:lblOffset val="100"/>
        <c:noMultiLvlLbl val="false"/>
      </c:catAx>
      <c:valAx>
        <c:axId val="697483648"/>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697483104"/>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分析!$B$66:$B$74</c:f>
              <c:strCache>
                <c:ptCount val="9"/>
                <c:pt idx="0">
                  <c:v>加强对山水林田湖自然资源的保护利用</c:v>
                </c:pt>
                <c:pt idx="1">
                  <c:v>加强历史文化遗产遗迹保护性开发</c:v>
                </c:pt>
                <c:pt idx="2">
                  <c:v>加强水、电、气等基础设施建设</c:v>
                </c:pt>
                <c:pt idx="3">
                  <c:v>加快5G基站、充电桩等新基建建设</c:v>
                </c:pt>
                <c:pt idx="4">
                  <c:v>促进城乡一体化发展</c:v>
                </c:pt>
                <c:pt idx="5">
                  <c:v>提升城市智慧化管理水平</c:v>
                </c:pt>
                <c:pt idx="6">
                  <c:v>增加商场、公园等生活配套</c:v>
                </c:pt>
                <c:pt idx="7">
                  <c:v>加快轨道、城市干道建设</c:v>
                </c:pt>
                <c:pt idx="8">
                  <c:v>优化城市格局，提升城市形象</c:v>
                </c:pt>
              </c:strCache>
            </c:strRef>
          </c:cat>
          <c:val>
            <c:numRef>
              <c:f>分析!$C$66:$C$74</c:f>
              <c:numCache>
                <c:formatCode>0.0%</c:formatCode>
                <c:ptCount val="9"/>
                <c:pt idx="0">
                  <c:v>0.1359</c:v>
                </c:pt>
                <c:pt idx="1">
                  <c:v>0.141</c:v>
                </c:pt>
                <c:pt idx="2">
                  <c:v>0.1631</c:v>
                </c:pt>
                <c:pt idx="3">
                  <c:v>0.2054</c:v>
                </c:pt>
                <c:pt idx="4">
                  <c:v>0.2604</c:v>
                </c:pt>
                <c:pt idx="5">
                  <c:v>0.371</c:v>
                </c:pt>
                <c:pt idx="6">
                  <c:v>0.4096</c:v>
                </c:pt>
                <c:pt idx="7">
                  <c:v>0.4994</c:v>
                </c:pt>
                <c:pt idx="8">
                  <c:v>0.524</c:v>
                </c:pt>
              </c:numCache>
            </c:numRef>
          </c:val>
        </c:ser>
        <c:dLbls>
          <c:showLegendKey val="false"/>
          <c:showVal val="true"/>
          <c:showCatName val="false"/>
          <c:showSerName val="false"/>
          <c:showPercent val="false"/>
          <c:showBubbleSize val="false"/>
        </c:dLbls>
        <c:gapWidth val="182"/>
        <c:axId val="697482016"/>
        <c:axId val="697478752"/>
      </c:barChart>
      <c:catAx>
        <c:axId val="697482016"/>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697478752"/>
        <c:crosses val="autoZero"/>
        <c:auto val="true"/>
        <c:lblAlgn val="ctr"/>
        <c:lblOffset val="100"/>
        <c:noMultiLvlLbl val="false"/>
      </c:catAx>
      <c:valAx>
        <c:axId val="697478752"/>
        <c:scaling>
          <c:orientation val="minMax"/>
          <c:max val="0.6"/>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697482016"/>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spPr>
            <a:solidFill>
              <a:schemeClr val="accent1">
                <a:lumMod val="50000"/>
              </a:schemeClr>
            </a:solidFill>
            <a:ln>
              <a:noFill/>
            </a:ln>
            <a:effectLst>
              <a:outerShdw blurRad="50800" dist="38100" dir="2700000" algn="tl" rotWithShape="0">
                <a:prstClr val="black">
                  <a:alpha val="40000"/>
                </a:prstClr>
              </a:outerShdw>
            </a:effectLst>
          </c:spPr>
          <c:invertIfNegative val="false"/>
          <c:dLbls>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'[海宁柱状图数据 0807.xlsx]分析'!$B$76:$B$81</c:f>
              <c:strCache>
                <c:ptCount val="6"/>
                <c:pt idx="0">
                  <c:v>提升完善劳动争议调解处置能力</c:v>
                </c:pt>
                <c:pt idx="1">
                  <c:v>鼓励通过创业带动就业</c:v>
                </c:pt>
                <c:pt idx="2">
                  <c:v>加强劳动者技能培训</c:v>
                </c:pt>
                <c:pt idx="3">
                  <c:v>加大对失业及就业困难人群的帮扶</c:v>
                </c:pt>
                <c:pt idx="4">
                  <c:v>多举办线上线下招聘会</c:v>
                </c:pt>
                <c:pt idx="5">
                  <c:v>稳定就业岗位，加大优质岗位供给</c:v>
                </c:pt>
              </c:strCache>
            </c:strRef>
          </c:cat>
          <c:val>
            <c:numRef>
              <c:f>'[海宁柱状图数据 0807.xlsx]分析'!$C$76:$C$81</c:f>
              <c:numCache>
                <c:formatCode>0.0%</c:formatCode>
                <c:ptCount val="6"/>
                <c:pt idx="0">
                  <c:v>0.1384</c:v>
                </c:pt>
                <c:pt idx="1">
                  <c:v>0.3369</c:v>
                </c:pt>
                <c:pt idx="2">
                  <c:v>0.4204</c:v>
                </c:pt>
                <c:pt idx="3">
                  <c:v>0.4703</c:v>
                </c:pt>
                <c:pt idx="4">
                  <c:v>0.512</c:v>
                </c:pt>
                <c:pt idx="5">
                  <c:v>0.6568</c:v>
                </c:pt>
              </c:numCache>
            </c:numRef>
          </c:val>
        </c:ser>
        <c:dLbls>
          <c:showLegendKey val="false"/>
          <c:showVal val="true"/>
          <c:showCatName val="false"/>
          <c:showSerName val="false"/>
          <c:showPercent val="false"/>
          <c:showBubbleSize val="false"/>
        </c:dLbls>
        <c:gapWidth val="182"/>
        <c:axId val="697482560"/>
        <c:axId val="697478208"/>
      </c:barChart>
      <c:catAx>
        <c:axId val="697482560"/>
        <c:scaling>
          <c:orientation val="minMax"/>
        </c:scaling>
        <c:delete val="false"/>
        <c:axPos val="l"/>
        <c:numFmt formatCode="General" sourceLinked="false"/>
        <c:majorTickMark val="none"/>
        <c:minorTickMark val="none"/>
        <c:tickLblPos val="nextTo"/>
        <c:spPr>
          <a:noFill/>
          <a:ln w="9525" cap="flat" cmpd="sng" algn="ctr">
            <a:solidFill>
              <a:schemeClr val="tx1">
                <a:lumMod val="75000"/>
                <a:lumOff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p>
        </c:txPr>
        <c:crossAx val="697478208"/>
        <c:crosses val="autoZero"/>
        <c:auto val="true"/>
        <c:lblAlgn val="ctr"/>
        <c:lblOffset val="100"/>
        <c:noMultiLvlLbl val="false"/>
      </c:catAx>
      <c:valAx>
        <c:axId val="697478208"/>
        <c:scaling>
          <c:orientation val="minMax"/>
          <c:max val="0.8"/>
        </c:scaling>
        <c:delete val="false"/>
        <c:axPos val="b"/>
        <c:numFmt formatCode="0%" sourceLinked="false"/>
        <c:majorTickMark val="none"/>
        <c:minorTickMark val="none"/>
        <c:tickLblPos val="nextTo"/>
        <c:spPr>
          <a:noFill/>
          <a:ln w="12700" cmpd="sng">
            <a:solidFill>
              <a:schemeClr val="tx1">
                <a:lumMod val="75000"/>
                <a:lumOff val="25000"/>
              </a:schemeClr>
            </a:solidFill>
            <a:prstDash val="solid"/>
          </a:ln>
          <a:effectLst/>
        </c:spPr>
        <c:txPr>
          <a:bodyPr rot="-60000000" spcFirstLastPara="0" vertOverflow="ellipsis" vert="horz" wrap="square" anchor="ctr" anchorCtr="true" forceAA="false"/>
          <a:lstStyle/>
          <a:p>
            <a:pPr>
              <a:defRPr lang="zh-CN" sz="1000" b="0" i="0" u="none" strike="noStrike" kern="1200" baseline="0">
                <a:solidFill>
                  <a:schemeClr val="tx1"/>
                </a:solidFill>
                <a:latin typeface="Times New Roman" charset="0"/>
                <a:ea typeface="Times New Roman" charset="0"/>
                <a:cs typeface="Times New Roman" charset="0"/>
                <a:sym typeface="Times New Roman" charset="0"/>
              </a:defRPr>
            </a:pPr>
          </a:p>
        </c:txPr>
        <c:crossAx val="697482560"/>
        <c:crosses val="autoZero"/>
        <c:crossBetween val="between"/>
        <c:majorUnit val="0.2"/>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599</Words>
  <Characters>3416</Characters>
  <Lines>28</Lines>
  <Paragraphs>8</Paragraphs>
  <TotalTime>22</TotalTime>
  <ScaleCrop>false</ScaleCrop>
  <LinksUpToDate>false</LinksUpToDate>
  <CharactersWithSpaces>4007</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2020-08-10T09:47:00Z</dcterms:created>
  <dc:creator>丁 武兴</dc:creator>
  <cp:lastModifiedBy>user</cp:lastModifiedBy>
  <cp:lastPrinted>2020-08-11T10:53:00Z</cp:lastPrinted>
  <dcterms:modified xsi:type="dcterms:W3CDTF">2021-12-16T15:36:07Z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_DocHome">
    <vt:i4>479315191</vt:i4>
  </property>
</Properties>
</file>