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eastAsia" w:ascii="文星简小标宋" w:eastAsia="文星简小标宋" w:cs="文星简小标宋"/>
          <w:b/>
          <w:bCs/>
          <w:color w:val="FF0000"/>
          <w:spacing w:val="-10"/>
          <w:w w:val="57"/>
          <w:sz w:val="21"/>
          <w:szCs w:val="21"/>
        </w:rPr>
      </w:pPr>
      <w:bookmarkStart w:id="0" w:name="Content"/>
      <w:bookmarkEnd w:id="0"/>
      <w:r>
        <w:rPr>
          <w:rFonts w:hint="eastAsia" w:ascii="方正美黑简体" w:hAnsi="方正美黑简体" w:eastAsia="方正美黑简体"/>
          <w:color w:val="FF0000"/>
          <w:spacing w:val="-28"/>
          <w:w w:val="40"/>
          <w:kern w:val="0"/>
          <w:sz w:val="116"/>
        </w:rPr>
        <w:t>海宁市城乡</w:t>
      </w:r>
      <w:r>
        <w:rPr>
          <w:rFonts w:hint="eastAsia" w:ascii="方正美黑简体" w:hAnsi="方正美黑简体" w:eastAsia="方正美黑简体"/>
          <w:color w:val="FF0000"/>
          <w:spacing w:val="-28"/>
          <w:w w:val="40"/>
          <w:kern w:val="0"/>
          <w:sz w:val="116"/>
          <w:lang w:eastAsia="zh-CN"/>
        </w:rPr>
        <w:t>垃圾分类</w:t>
      </w:r>
      <w:r>
        <w:rPr>
          <w:rFonts w:hint="eastAsia" w:ascii="方正美黑简体" w:hAnsi="方正美黑简体" w:eastAsia="方正美黑简体"/>
          <w:color w:val="FF0000"/>
          <w:spacing w:val="-28"/>
          <w:w w:val="40"/>
          <w:kern w:val="0"/>
          <w:sz w:val="116"/>
        </w:rPr>
        <w:t>工作领导小组办公室文件</w:t>
      </w:r>
    </w:p>
    <w:p>
      <w:pPr>
        <w:jc w:val="center"/>
        <w:rPr>
          <w:rFonts w:hint="eastAsia" w:ascii="仿宋_GB2312" w:eastAsia="仿宋_GB2312"/>
          <w:sz w:val="32"/>
          <w:szCs w:val="32"/>
        </w:rPr>
      </w:pPr>
      <w:r>
        <w:rPr>
          <w:rFonts w:hint="eastAsia" w:ascii="仿宋_GB2312" w:eastAsia="仿宋_GB2312"/>
          <w:sz w:val="32"/>
          <w:szCs w:val="32"/>
        </w:rPr>
        <w:t>海分</w:t>
      </w:r>
      <w:r>
        <w:rPr>
          <w:rFonts w:hint="eastAsia" w:ascii="仿宋_GB2312" w:eastAsia="仿宋_GB2312"/>
          <w:sz w:val="32"/>
          <w:szCs w:val="32"/>
          <w:lang w:eastAsia="zh-CN"/>
        </w:rPr>
        <w:t>领</w:t>
      </w:r>
      <w:r>
        <w:rPr>
          <w:rFonts w:hint="eastAsia" w:ascii="仿宋_GB2312" w:eastAsia="仿宋_GB2312"/>
          <w:sz w:val="32"/>
          <w:szCs w:val="32"/>
        </w:rPr>
        <w:t>办〔201</w:t>
      </w:r>
      <w:r>
        <w:rPr>
          <w:rFonts w:hint="eastAsia" w:ascii="仿宋_GB2312" w:eastAsia="仿宋_GB2312"/>
          <w:sz w:val="32"/>
          <w:szCs w:val="32"/>
          <w:lang w:val="en-US" w:eastAsia="zh-CN"/>
        </w:rPr>
        <w:t>9</w:t>
      </w:r>
      <w:r>
        <w:rPr>
          <w:rFonts w:hint="eastAsia" w:ascii="仿宋_GB2312" w:eastAsia="仿宋_GB2312"/>
          <w:sz w:val="32"/>
          <w:szCs w:val="32"/>
        </w:rPr>
        <w:t>〕</w:t>
      </w:r>
      <w:r>
        <w:rPr>
          <w:rFonts w:hint="eastAsia" w:ascii="仿宋_GB2312" w:eastAsia="仿宋_GB2312"/>
          <w:sz w:val="32"/>
          <w:szCs w:val="32"/>
          <w:lang w:val="en-US" w:eastAsia="zh-CN"/>
        </w:rPr>
        <w:t>43</w:t>
      </w:r>
      <w:r>
        <w:rPr>
          <w:rFonts w:hint="eastAsia" w:ascii="仿宋_GB2312" w:eastAsia="仿宋_GB2312"/>
          <w:sz w:val="32"/>
          <w:szCs w:val="32"/>
        </w:rPr>
        <w:t>号</w:t>
      </w:r>
    </w:p>
    <w:p>
      <w:pPr>
        <w:spacing w:line="560" w:lineRule="exact"/>
        <w:rPr>
          <w:rFonts w:hint="eastAsia" w:ascii="方正小标宋简体" w:eastAsia="方正小标宋简体"/>
          <w:sz w:val="21"/>
          <w:szCs w:val="21"/>
        </w:rPr>
      </w:pPr>
      <w: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89535</wp:posOffset>
                </wp:positionV>
                <wp:extent cx="5629275" cy="10795"/>
                <wp:effectExtent l="0" t="19050" r="9525" b="27305"/>
                <wp:wrapNone/>
                <wp:docPr id="1" name="直线 3"/>
                <wp:cNvGraphicFramePr/>
                <a:graphic xmlns:a="http://schemas.openxmlformats.org/drawingml/2006/main">
                  <a:graphicData uri="http://schemas.microsoft.com/office/word/2010/wordprocessingShape">
                    <wps:wsp>
                      <wps:cNvCnPr/>
                      <wps:spPr>
                        <a:xfrm>
                          <a:off x="0" y="0"/>
                          <a:ext cx="5629275" cy="10795"/>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2.25pt;margin-top:7.05pt;height:0.85pt;width:443.25pt;z-index:251658240;mso-width-relative:page;mso-height-relative:page;" filled="f" stroked="t" coordsize="21600,21600" o:gfxdata="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JB/JG2QAAAAcBAAAPAAAAAAAA&#10;AAEAIAAAACIAAABkcnMvZG93bnJldi54bWxQSwECFAAUAAAACACHTuJAVLzvRdgBAACgAwAADgAA&#10;AAAAAAABACAAAAAoAQAAZHJzL2Uyb0RvYy54bWxQSwUGAAAAAAYABgBZAQAAcgUAAAAA&#10;">
                <v:fill on="f" focussize="0,0"/>
                <v:stroke weight="3pt" color="#FF0000" joinstyle="round"/>
                <v:imagedata o:title=""/>
                <o:lock v:ext="edit" aspectratio="f"/>
              </v:line>
            </w:pict>
          </mc:Fallback>
        </mc:AlternateContent>
      </w:r>
    </w:p>
    <w:p>
      <w:pPr>
        <w:tabs>
          <w:tab w:val="left" w:pos="1470"/>
        </w:tabs>
        <w:spacing w:line="560" w:lineRule="exact"/>
        <w:jc w:val="both"/>
        <w:rPr>
          <w:rFonts w:ascii="方正小标宋简体" w:hAnsi="仿宋" w:eastAsia="方正小标宋简体" w:cs="宋体"/>
          <w:kern w:val="0"/>
          <w:sz w:val="44"/>
          <w:szCs w:val="44"/>
        </w:rPr>
      </w:pPr>
    </w:p>
    <w:p>
      <w:pPr>
        <w:spacing w:line="560" w:lineRule="exact"/>
        <w:jc w:val="center"/>
        <w:rPr>
          <w:rFonts w:hint="eastAsia" w:ascii="方正小标宋简体" w:hAnsi="仿宋" w:eastAsia="方正小标宋简体" w:cs="宋体"/>
          <w:color w:val="000000"/>
          <w:kern w:val="0"/>
          <w:sz w:val="44"/>
          <w:szCs w:val="44"/>
        </w:rPr>
      </w:pPr>
      <w:r>
        <w:rPr>
          <w:rFonts w:hint="eastAsia" w:ascii="方正小标宋简体" w:hAnsi="仿宋" w:eastAsia="方正小标宋简体" w:cs="宋体"/>
          <w:color w:val="000000"/>
          <w:kern w:val="0"/>
          <w:sz w:val="44"/>
          <w:szCs w:val="44"/>
          <w:lang w:val="en-US" w:eastAsia="zh-CN"/>
        </w:rPr>
        <w:t>关于印发《海宁市城镇生活垃圾收集设施设置技术要求（试行）》的通知</w:t>
      </w:r>
    </w:p>
    <w:p>
      <w:pPr>
        <w:spacing w:line="560" w:lineRule="exact"/>
        <w:jc w:val="center"/>
        <w:rPr>
          <w:rFonts w:hint="eastAsia" w:ascii="仿宋_GB2312" w:eastAsia="仿宋_GB2312"/>
          <w:color w:val="000000"/>
          <w:sz w:val="30"/>
          <w:szCs w:val="30"/>
        </w:rPr>
      </w:pPr>
    </w:p>
    <w:p>
      <w:pPr>
        <w:spacing w:line="560" w:lineRule="exact"/>
        <w:jc w:val="left"/>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各镇、街道，盐官度假区，各相关单位：</w:t>
      </w:r>
    </w:p>
    <w:p>
      <w:pPr>
        <w:spacing w:line="560" w:lineRule="exact"/>
        <w:ind w:firstLine="662" w:firstLineChars="200"/>
        <w:jc w:val="both"/>
        <w:rPr>
          <w:rFonts w:ascii="仿宋_GB2312" w:eastAsia="仿宋_GB2312"/>
          <w:color w:val="000000"/>
          <w:sz w:val="32"/>
          <w:szCs w:val="32"/>
        </w:rPr>
      </w:pPr>
      <w:r>
        <w:rPr>
          <w:rFonts w:hint="eastAsia" w:ascii="仿宋_GB2312" w:eastAsia="仿宋_GB2312"/>
          <w:color w:val="000000"/>
          <w:sz w:val="32"/>
          <w:szCs w:val="32"/>
          <w:lang w:val="en-US" w:eastAsia="zh-CN"/>
        </w:rPr>
        <w:t>为高质量推进海宁全市生活垃圾分类工作，有序提升海宁生活垃圾分类品质以及居民生产生活品质，根据《浙江省城镇生活垃圾管理办法》、《嘉兴市生活垃圾分类减量专项行动方案》等文件精神，经研究制定了《海宁市城镇生活垃圾收集设施设置技术要求（试行）》，现印发给你们，请遵照执行。</w:t>
      </w:r>
    </w:p>
    <w:p>
      <w:pPr>
        <w:spacing w:line="560" w:lineRule="exact"/>
        <w:jc w:val="left"/>
        <w:rPr>
          <w:rFonts w:ascii="仿宋_GB2312" w:eastAsia="仿宋_GB2312"/>
          <w:color w:val="000000"/>
          <w:sz w:val="32"/>
          <w:szCs w:val="32"/>
        </w:rPr>
      </w:pPr>
    </w:p>
    <w:p>
      <w:pPr>
        <w:spacing w:line="560" w:lineRule="exact"/>
        <w:jc w:val="left"/>
        <w:rPr>
          <w:rFonts w:ascii="仿宋_GB2312" w:eastAsia="仿宋_GB2312"/>
          <w:color w:val="000000"/>
          <w:sz w:val="32"/>
          <w:szCs w:val="32"/>
        </w:rPr>
      </w:pPr>
    </w:p>
    <w:p>
      <w:pPr>
        <w:spacing w:line="560" w:lineRule="exact"/>
        <w:jc w:val="right"/>
        <w:rPr>
          <w:rFonts w:ascii="仿宋_GB2312" w:eastAsia="仿宋_GB2312"/>
          <w:color w:val="000000"/>
          <w:sz w:val="32"/>
          <w:szCs w:val="32"/>
        </w:rPr>
      </w:pPr>
      <w:r>
        <w:rPr>
          <w:rFonts w:hint="eastAsia" w:ascii="仿宋_GB2312" w:eastAsia="仿宋_GB2312"/>
          <w:color w:val="000000"/>
          <w:sz w:val="32"/>
          <w:szCs w:val="32"/>
        </w:rPr>
        <w:t>海宁市城乡垃圾分类工作领导小组办公室</w:t>
      </w:r>
    </w:p>
    <w:p>
      <w:pPr>
        <w:spacing w:line="560" w:lineRule="exact"/>
        <w:jc w:val="center"/>
        <w:rPr>
          <w:rFonts w:hint="eastAsia" w:ascii="仿宋_GB2312" w:eastAsia="仿宋_GB2312"/>
          <w:color w:val="000000"/>
          <w:sz w:val="32"/>
          <w:szCs w:val="32"/>
        </w:rPr>
      </w:pPr>
      <w:r>
        <w:rPr>
          <w:rFonts w:ascii="仿宋_GB2312" w:eastAsia="仿宋_GB2312"/>
          <w:color w:val="000000"/>
          <w:sz w:val="32"/>
          <w:szCs w:val="32"/>
        </w:rPr>
        <w:t xml:space="preserve">                </w:t>
      </w:r>
      <w:r>
        <w:rPr>
          <w:rFonts w:hint="eastAsia" w:ascii="仿宋_GB2312" w:eastAsia="仿宋_GB2312"/>
          <w:color w:val="000000"/>
          <w:sz w:val="32"/>
          <w:szCs w:val="32"/>
          <w:lang w:val="en-US" w:eastAsia="zh-CN"/>
        </w:rPr>
        <w:t xml:space="preserve">    </w:t>
      </w:r>
      <w:r>
        <w:rPr>
          <w:rFonts w:ascii="仿宋_GB2312" w:eastAsia="仿宋_GB2312"/>
          <w:color w:val="000000"/>
          <w:sz w:val="32"/>
          <w:szCs w:val="32"/>
        </w:rPr>
        <w:t xml:space="preserve"> 2019</w:t>
      </w:r>
      <w:r>
        <w:rPr>
          <w:rFonts w:hint="eastAsia" w:ascii="仿宋_GB2312" w:eastAsia="仿宋_GB2312"/>
          <w:color w:val="000000"/>
          <w:sz w:val="32"/>
          <w:szCs w:val="32"/>
        </w:rPr>
        <w:t>年</w:t>
      </w:r>
      <w:r>
        <w:rPr>
          <w:rFonts w:hint="eastAsia" w:ascii="仿宋_GB2312" w:eastAsia="仿宋_GB2312"/>
          <w:color w:val="000000"/>
          <w:sz w:val="32"/>
          <w:szCs w:val="32"/>
          <w:lang w:val="en-US" w:eastAsia="zh-CN"/>
        </w:rPr>
        <w:t>9</w:t>
      </w:r>
      <w:r>
        <w:rPr>
          <w:rFonts w:hint="eastAsia" w:ascii="仿宋_GB2312" w:eastAsia="仿宋_GB2312"/>
          <w:color w:val="000000"/>
          <w:sz w:val="32"/>
          <w:szCs w:val="32"/>
        </w:rPr>
        <w:t>月</w:t>
      </w:r>
      <w:r>
        <w:rPr>
          <w:rFonts w:hint="eastAsia" w:ascii="仿宋_GB2312" w:eastAsia="仿宋_GB2312"/>
          <w:color w:val="000000"/>
          <w:sz w:val="32"/>
          <w:szCs w:val="32"/>
          <w:lang w:val="en-US" w:eastAsia="zh-CN"/>
        </w:rPr>
        <w:t>29</w:t>
      </w:r>
      <w:r>
        <w:rPr>
          <w:rFonts w:hint="eastAsia" w:ascii="仿宋_GB2312" w:eastAsia="仿宋_GB2312"/>
          <w:color w:val="000000"/>
          <w:sz w:val="32"/>
          <w:szCs w:val="32"/>
        </w:rPr>
        <w:t>日</w:t>
      </w:r>
    </w:p>
    <w:p>
      <w:pPr>
        <w:spacing w:line="560" w:lineRule="exact"/>
        <w:jc w:val="center"/>
        <w:rPr>
          <w:rFonts w:hint="eastAsia" w:ascii="仿宋_GB2312" w:eastAsia="仿宋_GB2312"/>
          <w:color w:val="000000"/>
          <w:sz w:val="32"/>
          <w:szCs w:val="32"/>
        </w:rPr>
      </w:pPr>
    </w:p>
    <w:p>
      <w:pPr>
        <w:spacing w:line="560" w:lineRule="exact"/>
        <w:jc w:val="center"/>
        <w:rPr>
          <w:rFonts w:ascii="方正小标宋简体" w:hAnsi="仿宋_GB2312" w:eastAsia="方正小标宋简体" w:cs="宋体"/>
          <w:bCs/>
          <w:color w:val="000000"/>
          <w:w w:val="99"/>
          <w:kern w:val="0"/>
          <w:sz w:val="44"/>
          <w:szCs w:val="44"/>
        </w:rPr>
      </w:pPr>
    </w:p>
    <w:p>
      <w:pPr>
        <w:spacing w:line="560" w:lineRule="exact"/>
        <w:jc w:val="center"/>
        <w:rPr>
          <w:rFonts w:ascii="方正小标宋简体" w:hAnsi="仿宋_GB2312" w:eastAsia="方正小标宋简体" w:cs="宋体"/>
          <w:bCs/>
          <w:color w:val="000000"/>
          <w:w w:val="99"/>
          <w:kern w:val="0"/>
          <w:sz w:val="44"/>
          <w:szCs w:val="44"/>
        </w:rPr>
      </w:pPr>
    </w:p>
    <w:p>
      <w:pPr>
        <w:keepNext w:val="0"/>
        <w:keepLines w:val="0"/>
        <w:pageBreakBefore w:val="0"/>
        <w:kinsoku/>
        <w:wordWrap/>
        <w:overflowPunct/>
        <w:topLinePunct w:val="0"/>
        <w:autoSpaceDE/>
        <w:autoSpaceDN/>
        <w:bidi w:val="0"/>
        <w:spacing w:line="560" w:lineRule="exact"/>
        <w:jc w:val="center"/>
        <w:textAlignment w:val="auto"/>
        <w:rPr>
          <w:rFonts w:hint="eastAsia" w:ascii="方正小标宋简体" w:hAnsi="仿宋" w:eastAsia="方正小标宋简体" w:cs="宋体"/>
          <w:color w:val="000000"/>
          <w:kern w:val="0"/>
          <w:sz w:val="44"/>
          <w:szCs w:val="44"/>
          <w:lang w:val="en-US" w:eastAsia="zh-CN"/>
        </w:rPr>
      </w:pPr>
      <w:r>
        <w:rPr>
          <w:rFonts w:hint="eastAsia" w:ascii="方正小标宋简体" w:hAnsi="仿宋" w:eastAsia="方正小标宋简体" w:cs="宋体"/>
          <w:color w:val="000000"/>
          <w:kern w:val="0"/>
          <w:sz w:val="44"/>
          <w:szCs w:val="44"/>
          <w:lang w:val="en-US" w:eastAsia="zh-CN"/>
        </w:rPr>
        <w:t>海宁市城镇生活垃圾收集设施设置技术要求</w:t>
      </w:r>
    </w:p>
    <w:p>
      <w:pPr>
        <w:keepNext w:val="0"/>
        <w:keepLines w:val="0"/>
        <w:pageBreakBefore w:val="0"/>
        <w:kinsoku/>
        <w:wordWrap/>
        <w:overflowPunct/>
        <w:topLinePunct w:val="0"/>
        <w:autoSpaceDE/>
        <w:autoSpaceDN/>
        <w:bidi w:val="0"/>
        <w:spacing w:line="560" w:lineRule="exact"/>
        <w:jc w:val="center"/>
        <w:textAlignment w:val="auto"/>
        <w:rPr>
          <w:rFonts w:hint="eastAsia" w:ascii="方正小标宋简体" w:hAnsi="仿宋" w:eastAsia="方正小标宋简体" w:cs="宋体"/>
          <w:color w:val="000000"/>
          <w:kern w:val="0"/>
          <w:sz w:val="44"/>
          <w:szCs w:val="44"/>
        </w:rPr>
      </w:pPr>
      <w:r>
        <w:rPr>
          <w:rFonts w:hint="eastAsia" w:ascii="方正小标宋简体" w:hAnsi="仿宋" w:eastAsia="方正小标宋简体" w:cs="宋体"/>
          <w:color w:val="000000"/>
          <w:kern w:val="0"/>
          <w:sz w:val="44"/>
          <w:szCs w:val="44"/>
          <w:lang w:val="en-US" w:eastAsia="zh-CN"/>
        </w:rPr>
        <w:t>（试行）</w:t>
      </w:r>
    </w:p>
    <w:p>
      <w:pPr>
        <w:keepNext w:val="0"/>
        <w:keepLines w:val="0"/>
        <w:pageBreakBefore w:val="0"/>
        <w:kinsoku/>
        <w:wordWrap/>
        <w:overflowPunct/>
        <w:topLinePunct w:val="0"/>
        <w:autoSpaceDE/>
        <w:autoSpaceDN/>
        <w:bidi w:val="0"/>
        <w:spacing w:line="560" w:lineRule="exact"/>
        <w:jc w:val="center"/>
        <w:textAlignment w:val="auto"/>
        <w:rPr>
          <w:rFonts w:ascii="仿宋_GB2312" w:hAnsi="仿宋" w:eastAsia="仿宋_GB2312" w:cs="宋体"/>
          <w:color w:val="000000"/>
          <w:kern w:val="0"/>
          <w:sz w:val="32"/>
          <w:szCs w:val="32"/>
        </w:rPr>
      </w:pP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color w:val="000000"/>
          <w:kern w:val="0"/>
          <w:sz w:val="32"/>
          <w:szCs w:val="32"/>
          <w:lang w:bidi="ar"/>
        </w:rPr>
        <w:t>1 总则</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1.1 本技术要求适用于</w:t>
      </w:r>
      <w:r>
        <w:rPr>
          <w:rFonts w:hint="eastAsia" w:ascii="仿宋_GB2312" w:hAnsi="仿宋_GB2312" w:eastAsia="仿宋_GB2312" w:cs="仿宋_GB2312"/>
          <w:color w:val="000000"/>
          <w:kern w:val="0"/>
          <w:sz w:val="32"/>
          <w:szCs w:val="32"/>
          <w:lang w:bidi="ar"/>
        </w:rPr>
        <w:t>我</w:t>
      </w:r>
      <w:r>
        <w:rPr>
          <w:rFonts w:ascii="仿宋_GB2312" w:hAnsi="仿宋_GB2312" w:eastAsia="仿宋_GB2312" w:cs="仿宋_GB2312"/>
          <w:color w:val="000000"/>
          <w:kern w:val="0"/>
          <w:sz w:val="32"/>
          <w:szCs w:val="32"/>
          <w:lang w:bidi="ar"/>
        </w:rPr>
        <w:t xml:space="preserve">市行政区域内产生生活垃圾的各类场所。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1.2 本技术要求适用于新建生活垃圾收集设施设置的规划、设计、建设和运行。现</w:t>
      </w:r>
      <w:r>
        <w:rPr>
          <w:rFonts w:hint="eastAsia" w:ascii="仿宋_GB2312" w:hAnsi="仿宋_GB2312" w:eastAsia="仿宋_GB2312" w:cs="仿宋_GB2312"/>
          <w:color w:val="000000"/>
          <w:kern w:val="0"/>
          <w:sz w:val="32"/>
          <w:szCs w:val="32"/>
          <w:lang w:val="en-US" w:eastAsia="zh-CN" w:bidi="ar"/>
        </w:rPr>
        <w:t>有</w:t>
      </w:r>
      <w:r>
        <w:rPr>
          <w:rFonts w:ascii="仿宋_GB2312" w:hAnsi="仿宋_GB2312" w:eastAsia="仿宋_GB2312" w:cs="仿宋_GB2312"/>
          <w:color w:val="000000"/>
          <w:kern w:val="0"/>
          <w:sz w:val="32"/>
          <w:szCs w:val="32"/>
          <w:lang w:bidi="ar"/>
        </w:rPr>
        <w:t>生活垃圾</w:t>
      </w:r>
      <w:r>
        <w:rPr>
          <w:rFonts w:hint="eastAsia" w:ascii="仿宋_GB2312" w:hAnsi="仿宋_GB2312" w:eastAsia="仿宋_GB2312" w:cs="仿宋_GB2312"/>
          <w:color w:val="000000"/>
          <w:kern w:val="0"/>
          <w:sz w:val="32"/>
          <w:szCs w:val="32"/>
          <w:lang w:val="en-US" w:eastAsia="zh-CN" w:bidi="ar"/>
        </w:rPr>
        <w:t>收集设施</w:t>
      </w:r>
      <w:r>
        <w:rPr>
          <w:rFonts w:ascii="仿宋_GB2312" w:hAnsi="仿宋_GB2312" w:eastAsia="仿宋_GB2312" w:cs="仿宋_GB2312"/>
          <w:color w:val="000000"/>
          <w:kern w:val="0"/>
          <w:sz w:val="32"/>
          <w:szCs w:val="32"/>
          <w:lang w:bidi="ar"/>
        </w:rPr>
        <w:t xml:space="preserve">改建参照执行。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1.3 生活垃圾收集设施设置的规划、设计、建设、运行除应符合本技术要求外，尚应符合国家</w:t>
      </w:r>
      <w:r>
        <w:rPr>
          <w:rFonts w:hint="eastAsia" w:ascii="仿宋_GB2312" w:hAnsi="仿宋_GB2312" w:eastAsia="仿宋_GB2312" w:cs="仿宋_GB2312"/>
          <w:color w:val="000000"/>
          <w:kern w:val="0"/>
          <w:sz w:val="32"/>
          <w:szCs w:val="32"/>
          <w:lang w:bidi="ar"/>
        </w:rPr>
        <w:t>等</w:t>
      </w:r>
      <w:r>
        <w:rPr>
          <w:rFonts w:ascii="仿宋_GB2312" w:hAnsi="仿宋_GB2312" w:eastAsia="仿宋_GB2312" w:cs="仿宋_GB2312"/>
          <w:color w:val="000000"/>
          <w:kern w:val="0"/>
          <w:sz w:val="32"/>
          <w:szCs w:val="32"/>
          <w:lang w:bidi="ar"/>
        </w:rPr>
        <w:t xml:space="preserve">现行有关标准的规定；当有关现行标准与本技术要求不一致时，应按本技术要求的规定执行。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color w:val="000000"/>
          <w:kern w:val="0"/>
          <w:sz w:val="32"/>
          <w:szCs w:val="32"/>
          <w:lang w:bidi="ar"/>
        </w:rPr>
        <w:t>2 术语和定义</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下列术语和定义适用于本文件。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2.1 生活垃圾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在日常生活中或者为日常生活提供服务的活动中产生的固体废弃物以及法律、行政法规规定视为生活垃圾的固体废弃物。</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2.2 生活垃圾类别</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根据城镇生活垃圾的特性，可将生活垃圾分为可回收物、有害垃圾、易腐垃圾和其他垃圾四大类。</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color w:val="000000"/>
          <w:kern w:val="0"/>
          <w:sz w:val="32"/>
          <w:szCs w:val="32"/>
          <w:lang w:bidi="ar"/>
        </w:rPr>
        <w:t xml:space="preserve">2.3 </w:t>
      </w:r>
      <w:r>
        <w:rPr>
          <w:rFonts w:ascii="仿宋_GB2312" w:hAnsi="仿宋_GB2312" w:eastAsia="仿宋_GB2312" w:cs="仿宋_GB2312"/>
          <w:color w:val="000000"/>
          <w:kern w:val="0"/>
          <w:sz w:val="32"/>
          <w:szCs w:val="32"/>
          <w:lang w:bidi="ar"/>
        </w:rPr>
        <w:t xml:space="preserve">可回收物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color w:val="000000"/>
          <w:kern w:val="0"/>
          <w:sz w:val="32"/>
          <w:szCs w:val="32"/>
          <w:lang w:bidi="ar"/>
        </w:rPr>
        <w:t>未污染的、适宜回收的、可资源利用的生活垃圾</w:t>
      </w:r>
      <w:r>
        <w:rPr>
          <w:rFonts w:ascii="仿宋_GB2312" w:hAnsi="仿宋_GB2312" w:eastAsia="仿宋_GB2312" w:cs="仿宋_GB2312"/>
          <w:kern w:val="0"/>
          <w:sz w:val="32"/>
          <w:szCs w:val="32"/>
          <w:lang w:bidi="ar"/>
        </w:rPr>
        <w:t>。</w:t>
      </w:r>
      <w:r>
        <w:rPr>
          <w:rFonts w:hint="eastAsia" w:ascii="宋体" w:hAnsi="宋体" w:cs="宋体"/>
          <w:kern w:val="0"/>
          <w:sz w:val="20"/>
          <w:szCs w:val="20"/>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2.</w:t>
      </w:r>
      <w:r>
        <w:rPr>
          <w:rFonts w:hint="eastAsia" w:ascii="仿宋_GB2312" w:hAnsi="仿宋_GB2312" w:eastAsia="仿宋_GB2312" w:cs="仿宋_GB2312"/>
          <w:color w:val="000000"/>
          <w:kern w:val="0"/>
          <w:sz w:val="32"/>
          <w:szCs w:val="32"/>
          <w:lang w:bidi="ar"/>
        </w:rPr>
        <w:t>4</w:t>
      </w:r>
      <w:r>
        <w:rPr>
          <w:rFonts w:ascii="仿宋_GB2312" w:hAnsi="仿宋_GB2312" w:eastAsia="仿宋_GB2312" w:cs="仿宋_GB2312"/>
          <w:color w:val="000000"/>
          <w:kern w:val="0"/>
          <w:sz w:val="32"/>
          <w:szCs w:val="32"/>
          <w:lang w:bidi="ar"/>
        </w:rPr>
        <w:t xml:space="preserve"> 有害垃圾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rPr>
      </w:pPr>
      <w:r>
        <w:rPr>
          <w:rFonts w:hint="eastAsia" w:ascii="仿宋_GB2312" w:hAnsi="仿宋_GB2312" w:eastAsia="仿宋_GB2312" w:cs="仿宋_GB2312"/>
          <w:color w:val="000000"/>
          <w:kern w:val="0"/>
          <w:sz w:val="32"/>
          <w:szCs w:val="32"/>
          <w:lang w:bidi="ar"/>
        </w:rPr>
        <w:t>含有害物质，需要特殊安全处理的生活垃圾。</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bidi="ar"/>
        </w:rPr>
        <w:t>5</w:t>
      </w: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易腐</w:t>
      </w:r>
      <w:r>
        <w:rPr>
          <w:rFonts w:ascii="仿宋_GB2312" w:hAnsi="仿宋_GB2312" w:eastAsia="仿宋_GB2312" w:cs="仿宋_GB2312"/>
          <w:kern w:val="0"/>
          <w:sz w:val="32"/>
          <w:szCs w:val="32"/>
          <w:lang w:bidi="ar"/>
        </w:rPr>
        <w:t xml:space="preserve">垃圾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kern w:val="0"/>
          <w:sz w:val="32"/>
          <w:szCs w:val="32"/>
          <w:lang w:bidi="ar"/>
        </w:rPr>
        <w:t>易腐烂的、含有机质的生活垃圾。包括居民日常生活产生的厨余垃圾、餐饮场所产生的餐厨垃圾和农贸市场产生的生鲜垃圾。</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kern w:val="0"/>
          <w:sz w:val="32"/>
          <w:szCs w:val="32"/>
          <w:lang w:bidi="ar"/>
        </w:rPr>
        <w:t xml:space="preserve"> </w:t>
      </w:r>
      <w:r>
        <w:rPr>
          <w:rFonts w:hint="eastAsia" w:ascii="仿宋_GB2312" w:hAnsi="仿宋_GB2312" w:eastAsia="仿宋_GB2312" w:cs="仿宋_GB2312"/>
          <w:kern w:val="0"/>
          <w:sz w:val="32"/>
          <w:szCs w:val="32"/>
          <w:lang w:bidi="ar"/>
        </w:rPr>
        <w:t xml:space="preserve">   </w:t>
      </w:r>
      <w:r>
        <w:rPr>
          <w:rFonts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bidi="ar"/>
        </w:rPr>
        <w:t>6 其他</w:t>
      </w:r>
      <w:r>
        <w:rPr>
          <w:rFonts w:ascii="仿宋_GB2312" w:hAnsi="仿宋_GB2312" w:eastAsia="仿宋_GB2312" w:cs="仿宋_GB2312"/>
          <w:kern w:val="0"/>
          <w:sz w:val="32"/>
          <w:szCs w:val="32"/>
          <w:lang w:bidi="ar"/>
        </w:rPr>
        <w:t xml:space="preserve">垃圾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除可回收物、有害垃圾、</w:t>
      </w:r>
      <w:r>
        <w:rPr>
          <w:rFonts w:hint="eastAsia" w:ascii="仿宋_GB2312" w:hAnsi="仿宋_GB2312" w:eastAsia="仿宋_GB2312" w:cs="仿宋_GB2312"/>
          <w:kern w:val="0"/>
          <w:sz w:val="32"/>
          <w:szCs w:val="32"/>
          <w:lang w:bidi="ar"/>
        </w:rPr>
        <w:t>易腐</w:t>
      </w:r>
      <w:r>
        <w:rPr>
          <w:rFonts w:ascii="仿宋_GB2312" w:hAnsi="仿宋_GB2312" w:eastAsia="仿宋_GB2312" w:cs="仿宋_GB2312"/>
          <w:kern w:val="0"/>
          <w:sz w:val="32"/>
          <w:szCs w:val="32"/>
          <w:lang w:bidi="ar"/>
        </w:rPr>
        <w:t>垃圾以外的其</w:t>
      </w:r>
      <w:r>
        <w:rPr>
          <w:rFonts w:hint="eastAsia" w:ascii="仿宋_GB2312" w:hAnsi="仿宋_GB2312" w:eastAsia="仿宋_GB2312" w:cs="仿宋_GB2312"/>
          <w:kern w:val="0"/>
          <w:sz w:val="32"/>
          <w:szCs w:val="32"/>
          <w:lang w:bidi="ar"/>
        </w:rPr>
        <w:t>他</w:t>
      </w:r>
      <w:r>
        <w:rPr>
          <w:rFonts w:ascii="仿宋_GB2312" w:hAnsi="仿宋_GB2312" w:eastAsia="仿宋_GB2312" w:cs="仿宋_GB2312"/>
          <w:kern w:val="0"/>
          <w:sz w:val="32"/>
          <w:szCs w:val="32"/>
          <w:lang w:bidi="ar"/>
        </w:rPr>
        <w:t>生活</w:t>
      </w:r>
      <w:r>
        <w:rPr>
          <w:rFonts w:hint="eastAsia" w:ascii="仿宋_GB2312" w:hAnsi="仿宋_GB2312" w:eastAsia="仿宋_GB2312" w:cs="仿宋_GB2312"/>
          <w:kern w:val="0"/>
          <w:sz w:val="32"/>
          <w:szCs w:val="32"/>
          <w:lang w:bidi="ar"/>
        </w:rPr>
        <w:t>垃圾</w:t>
      </w:r>
      <w:r>
        <w:rPr>
          <w:rFonts w:ascii="仿宋_GB2312" w:hAnsi="仿宋_GB2312" w:eastAsia="仿宋_GB2312" w:cs="仿宋_GB2312"/>
          <w:kern w:val="0"/>
          <w:sz w:val="32"/>
          <w:szCs w:val="32"/>
          <w:lang w:bidi="ar"/>
        </w:rPr>
        <w:t>。</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2.7 大件垃圾</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重量超过5kg、体积超过0.2m</w:t>
      </w:r>
      <w:r>
        <w:rPr>
          <w:rFonts w:hint="eastAsia" w:ascii="仿宋_GB2312" w:hAnsi="仿宋_GB2312" w:eastAsia="仿宋_GB2312" w:cs="仿宋_GB2312"/>
          <w:kern w:val="0"/>
          <w:sz w:val="32"/>
          <w:szCs w:val="32"/>
          <w:vertAlign w:val="superscript"/>
          <w:lang w:bidi="ar"/>
        </w:rPr>
        <w:t>3</w:t>
      </w:r>
      <w:r>
        <w:rPr>
          <w:rFonts w:hint="eastAsia" w:ascii="仿宋_GB2312" w:hAnsi="仿宋_GB2312" w:eastAsia="仿宋_GB2312" w:cs="仿宋_GB2312"/>
          <w:kern w:val="0"/>
          <w:sz w:val="32"/>
          <w:szCs w:val="32"/>
          <w:lang w:bidi="ar"/>
        </w:rPr>
        <w:t>或长度超过1m,且整体性较强，需要拆解后利用或处理的废弃物。</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2.8 园林垃圾</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园林植物自然凋落或人工修剪所产生的植物残体。</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2.</w:t>
      </w:r>
      <w:r>
        <w:rPr>
          <w:rFonts w:hint="eastAsia" w:ascii="仿宋_GB2312" w:hAnsi="仿宋_GB2312" w:eastAsia="仿宋_GB2312" w:cs="仿宋_GB2312"/>
          <w:kern w:val="0"/>
          <w:sz w:val="32"/>
          <w:szCs w:val="32"/>
          <w:lang w:bidi="ar"/>
        </w:rPr>
        <w:t>9 装修垃圾</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房屋装修过程中产生的弃料或废弃物。</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kern w:val="0"/>
          <w:sz w:val="32"/>
          <w:szCs w:val="32"/>
          <w:lang w:bidi="ar"/>
        </w:rPr>
        <w:t>2.10</w:t>
      </w:r>
      <w:r>
        <w:rPr>
          <w:rFonts w:ascii="仿宋_GB2312" w:hAnsi="仿宋_GB2312" w:eastAsia="仿宋_GB2312" w:cs="仿宋_GB2312"/>
          <w:kern w:val="0"/>
          <w:sz w:val="32"/>
          <w:szCs w:val="32"/>
          <w:lang w:bidi="ar"/>
        </w:rPr>
        <w:t xml:space="preserve">生活垃圾收集设施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按规定设置的，将分散生活垃圾集中收集的构/建筑物，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kern w:val="0"/>
          <w:sz w:val="32"/>
          <w:szCs w:val="32"/>
          <w:lang w:bidi="ar"/>
        </w:rPr>
        <w:t>本技术要求中涉及生活垃圾房</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可回收物回收点，</w:t>
      </w:r>
      <w:r>
        <w:rPr>
          <w:rFonts w:hint="eastAsia" w:ascii="仿宋_GB2312" w:hAnsi="仿宋_GB2312" w:eastAsia="仿宋_GB2312" w:cs="仿宋_GB2312"/>
          <w:kern w:val="0"/>
          <w:sz w:val="32"/>
          <w:szCs w:val="32"/>
          <w:lang w:bidi="ar"/>
        </w:rPr>
        <w:t>装修垃圾、</w:t>
      </w:r>
      <w:r>
        <w:rPr>
          <w:rFonts w:hint="eastAsia" w:ascii="仿宋_GB2312" w:hAnsi="仿宋_GB2312" w:eastAsia="仿宋_GB2312" w:cs="仿宋_GB2312"/>
          <w:kern w:val="0"/>
          <w:sz w:val="32"/>
          <w:szCs w:val="32"/>
          <w:lang w:val="en-US" w:eastAsia="zh-CN" w:bidi="ar"/>
        </w:rPr>
        <w:t>大件垃圾、</w:t>
      </w:r>
      <w:r>
        <w:rPr>
          <w:rFonts w:hint="eastAsia" w:ascii="仿宋_GB2312" w:hAnsi="仿宋_GB2312" w:eastAsia="仿宋_GB2312" w:cs="仿宋_GB2312"/>
          <w:kern w:val="0"/>
          <w:sz w:val="32"/>
          <w:szCs w:val="32"/>
          <w:lang w:bidi="ar"/>
        </w:rPr>
        <w:t>园林绿化垃圾暂存点</w:t>
      </w:r>
      <w:r>
        <w:rPr>
          <w:rFonts w:ascii="仿宋_GB2312" w:hAnsi="仿宋_GB2312" w:eastAsia="仿宋_GB2312" w:cs="仿宋_GB2312"/>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kern w:val="0"/>
          <w:sz w:val="32"/>
          <w:szCs w:val="32"/>
          <w:lang w:bidi="ar"/>
        </w:rPr>
        <w:t>2.11</w:t>
      </w:r>
      <w:r>
        <w:rPr>
          <w:rFonts w:ascii="仿宋_GB2312" w:hAnsi="仿宋_GB2312" w:eastAsia="仿宋_GB2312" w:cs="仿宋_GB2312"/>
          <w:kern w:val="0"/>
          <w:sz w:val="32"/>
          <w:szCs w:val="32"/>
          <w:lang w:bidi="ar"/>
        </w:rPr>
        <w:t xml:space="preserve"> 生活垃圾房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生活垃圾房，即放置生活垃圾收集容器的专用建筑，也 </w:t>
      </w:r>
    </w:p>
    <w:p>
      <w:pPr>
        <w:keepNext w:val="0"/>
        <w:keepLines w:val="0"/>
        <w:pageBreakBefore w:val="0"/>
        <w:widowControl/>
        <w:kinsoku/>
        <w:wordWrap/>
        <w:overflowPunct/>
        <w:topLinePunct w:val="0"/>
        <w:autoSpaceDE/>
        <w:autoSpaceDN/>
        <w:bidi w:val="0"/>
        <w:spacing w:line="560" w:lineRule="exact"/>
        <w:jc w:val="both"/>
        <w:textAlignment w:val="auto"/>
        <w:rPr>
          <w:rFonts w:hint="default" w:ascii="仿宋_GB2312" w:hAnsi="仿宋_GB2312" w:eastAsia="仿宋_GB2312" w:cs="仿宋_GB2312"/>
          <w:kern w:val="0"/>
          <w:sz w:val="32"/>
          <w:szCs w:val="32"/>
          <w:lang w:val="en-US" w:eastAsia="zh-CN" w:bidi="ar"/>
        </w:rPr>
      </w:pPr>
      <w:r>
        <w:rPr>
          <w:rFonts w:ascii="仿宋_GB2312" w:hAnsi="仿宋_GB2312" w:eastAsia="仿宋_GB2312" w:cs="仿宋_GB2312"/>
          <w:kern w:val="0"/>
          <w:sz w:val="32"/>
          <w:szCs w:val="32"/>
          <w:lang w:bidi="ar"/>
        </w:rPr>
        <w:t>称“垃圾厢房”“垃圾箱房”</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val="en-US" w:eastAsia="zh-CN" w:bidi="ar"/>
        </w:rPr>
        <w:t>本技术要求在小区内特指集置投放站。站点正式建设时可用</w:t>
      </w:r>
      <w:r>
        <w:rPr>
          <w:rFonts w:hint="eastAsia" w:ascii="仿宋_GB2312" w:eastAsia="仿宋_GB2312" w:cs="仿宋_GB2312"/>
          <w:spacing w:val="-6"/>
          <w:sz w:val="32"/>
          <w:szCs w:val="32"/>
          <w:lang w:val="en-US" w:eastAsia="zh-CN"/>
        </w:rPr>
        <w:t>“环保分类箱”、“环保屋”等群众容易接受的名称。</w:t>
      </w:r>
    </w:p>
    <w:p>
      <w:pPr>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bidi="ar"/>
        </w:rPr>
        <w:t>2.12</w:t>
      </w:r>
      <w:r>
        <w:rPr>
          <w:rFonts w:hint="eastAsia" w:ascii="仿宋_GB2312" w:hAnsi="仿宋_GB2312" w:eastAsia="仿宋_GB2312" w:cs="仿宋_GB2312"/>
          <w:kern w:val="0"/>
          <w:sz w:val="32"/>
          <w:szCs w:val="32"/>
          <w:lang w:val="en-US" w:eastAsia="zh-CN" w:bidi="ar"/>
        </w:rPr>
        <w:t xml:space="preserve"> 集置投放站</w:t>
      </w:r>
    </w:p>
    <w:p>
      <w:pPr>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生活垃圾集置投放站是居民小区实施定时定点模式的主要设施。</w:t>
      </w:r>
    </w:p>
    <w:p>
      <w:pPr>
        <w:keepNext w:val="0"/>
        <w:keepLines w:val="0"/>
        <w:pageBreakBefore w:val="0"/>
        <w:widowControl/>
        <w:kinsoku/>
        <w:wordWrap/>
        <w:overflowPunct/>
        <w:topLinePunct w:val="0"/>
        <w:autoSpaceDE/>
        <w:autoSpaceDN/>
        <w:bidi w:val="0"/>
        <w:spacing w:line="560" w:lineRule="exact"/>
        <w:ind w:firstLine="640"/>
        <w:jc w:val="both"/>
        <w:textAlignment w:val="auto"/>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2.13 定时投放亭</w:t>
      </w:r>
    </w:p>
    <w:p>
      <w:pPr>
        <w:keepNext w:val="0"/>
        <w:keepLines w:val="0"/>
        <w:pageBreakBefore w:val="0"/>
        <w:widowControl/>
        <w:kinsoku/>
        <w:wordWrap/>
        <w:overflowPunct/>
        <w:topLinePunct w:val="0"/>
        <w:autoSpaceDE/>
        <w:autoSpaceDN/>
        <w:bidi w:val="0"/>
        <w:spacing w:line="560" w:lineRule="exact"/>
        <w:ind w:firstLine="640"/>
        <w:jc w:val="both"/>
        <w:textAlignment w:val="auto"/>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定时投放亭是定时定点模式实施的辅助设施，用于集置投放站难以解决居民长距离投放的现实困难，通常采用定时撤桶方式运行。定时投放亭点位设置应尽量少设或不设。</w:t>
      </w:r>
    </w:p>
    <w:p>
      <w:pPr>
        <w:keepNext w:val="0"/>
        <w:keepLines w:val="0"/>
        <w:pageBreakBefore w:val="0"/>
        <w:widowControl/>
        <w:kinsoku/>
        <w:wordWrap/>
        <w:overflowPunct/>
        <w:topLinePunct w:val="0"/>
        <w:autoSpaceDE/>
        <w:autoSpaceDN/>
        <w:bidi w:val="0"/>
        <w:spacing w:line="560" w:lineRule="exact"/>
        <w:ind w:firstLine="640"/>
        <w:jc w:val="both"/>
        <w:textAlignment w:val="auto"/>
      </w:pPr>
      <w:r>
        <w:rPr>
          <w:rFonts w:hint="eastAsia" w:ascii="仿宋_GB2312" w:hAnsi="仿宋_GB2312" w:eastAsia="仿宋_GB2312" w:cs="仿宋_GB2312"/>
          <w:kern w:val="0"/>
          <w:sz w:val="32"/>
          <w:szCs w:val="32"/>
          <w:lang w:val="en-US" w:eastAsia="zh-CN" w:bidi="ar"/>
        </w:rPr>
        <w:t>2.14</w:t>
      </w:r>
      <w:r>
        <w:rPr>
          <w:rFonts w:ascii="仿宋_GB2312" w:hAnsi="仿宋_GB2312" w:eastAsia="仿宋_GB2312" w:cs="仿宋_GB2312"/>
          <w:kern w:val="0"/>
          <w:sz w:val="32"/>
          <w:szCs w:val="32"/>
          <w:lang w:bidi="ar"/>
        </w:rPr>
        <w:t xml:space="preserve">居民小区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是以住宅楼房为主体并配有商业网点、文化教育、娱乐、绿化、公用和公共设施等而形成的具有一定规模的居民生活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kern w:val="0"/>
          <w:sz w:val="32"/>
          <w:szCs w:val="32"/>
          <w:lang w:bidi="ar"/>
        </w:rPr>
        <w:t xml:space="preserve">区，并不为城市交通干道所穿越的完整地段。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kern w:val="0"/>
          <w:sz w:val="32"/>
          <w:szCs w:val="32"/>
          <w:lang w:bidi="ar"/>
        </w:rPr>
        <w:t>2.1</w:t>
      </w:r>
      <w:r>
        <w:rPr>
          <w:rFonts w:hint="eastAsia" w:ascii="仿宋_GB2312" w:hAnsi="仿宋_GB2312" w:eastAsia="仿宋_GB2312" w:cs="仿宋_GB2312"/>
          <w:kern w:val="0"/>
          <w:sz w:val="32"/>
          <w:szCs w:val="32"/>
          <w:lang w:val="en-US" w:eastAsia="zh-CN" w:bidi="ar"/>
        </w:rPr>
        <w:t>5</w:t>
      </w:r>
      <w:r>
        <w:rPr>
          <w:rFonts w:ascii="仿宋_GB2312" w:hAnsi="仿宋_GB2312" w:eastAsia="仿宋_GB2312" w:cs="仿宋_GB2312"/>
          <w:kern w:val="0"/>
          <w:sz w:val="32"/>
          <w:szCs w:val="32"/>
          <w:lang w:bidi="ar"/>
        </w:rPr>
        <w:t xml:space="preserve"> 单位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包括公共机构及相关企业。公共机构包括党政机关，学校、科研、文化、出版、广播电视等事业单位，协会、学会、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kern w:val="0"/>
          <w:sz w:val="32"/>
          <w:szCs w:val="32"/>
          <w:lang w:bidi="ar"/>
        </w:rPr>
        <w:t>联合会等社团组织，车站、码头、体育场馆、演出场馆等公共场所管理单位；相关企业包括宾馆、饭店、购物中心、超市、农贸市场、农产品批发市场等。</w:t>
      </w:r>
      <w:r>
        <w:rPr>
          <w:rFonts w:hint="eastAsia" w:ascii="宋体" w:hAnsi="宋体" w:cs="宋体"/>
          <w:kern w:val="0"/>
          <w:sz w:val="20"/>
          <w:szCs w:val="20"/>
          <w:lang w:bidi="ar"/>
        </w:rPr>
        <w:t xml:space="preserve">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kern w:val="0"/>
          <w:sz w:val="32"/>
          <w:szCs w:val="32"/>
          <w:lang w:bidi="ar"/>
        </w:rPr>
        <w:t>3 基本规定</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3.1 生活垃圾应按可回收物、有害垃圾、</w:t>
      </w:r>
      <w:r>
        <w:rPr>
          <w:rFonts w:hint="eastAsia" w:ascii="仿宋_GB2312" w:hAnsi="仿宋_GB2312" w:eastAsia="仿宋_GB2312" w:cs="仿宋_GB2312"/>
          <w:kern w:val="0"/>
          <w:sz w:val="32"/>
          <w:szCs w:val="32"/>
          <w:lang w:bidi="ar"/>
        </w:rPr>
        <w:t>易腐</w:t>
      </w:r>
      <w:r>
        <w:rPr>
          <w:rFonts w:ascii="仿宋_GB2312" w:hAnsi="仿宋_GB2312" w:eastAsia="仿宋_GB2312" w:cs="仿宋_GB2312"/>
          <w:kern w:val="0"/>
          <w:sz w:val="32"/>
          <w:szCs w:val="32"/>
          <w:lang w:bidi="ar"/>
        </w:rPr>
        <w:t>垃圾、</w:t>
      </w:r>
      <w:r>
        <w:rPr>
          <w:rFonts w:hint="eastAsia" w:ascii="仿宋_GB2312" w:hAnsi="仿宋_GB2312" w:eastAsia="仿宋_GB2312" w:cs="仿宋_GB2312"/>
          <w:kern w:val="0"/>
          <w:sz w:val="32"/>
          <w:szCs w:val="32"/>
          <w:lang w:bidi="ar"/>
        </w:rPr>
        <w:t>其他</w:t>
      </w:r>
      <w:r>
        <w:rPr>
          <w:rFonts w:ascii="仿宋_GB2312" w:hAnsi="仿宋_GB2312" w:eastAsia="仿宋_GB2312" w:cs="仿宋_GB2312"/>
          <w:kern w:val="0"/>
          <w:sz w:val="32"/>
          <w:szCs w:val="32"/>
          <w:lang w:bidi="ar"/>
        </w:rPr>
        <w:t xml:space="preserve">垃圾分类收集，并设置相应的生活垃圾房。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3.2 新建生活垃圾房应与主体工程同时设计、同时施工</w:t>
      </w:r>
      <w:r>
        <w:rPr>
          <w:rFonts w:hint="eastAsia" w:ascii="仿宋_GB2312" w:hAnsi="仿宋_GB2312" w:eastAsia="仿宋_GB2312" w:cs="仿宋_GB2312"/>
          <w:color w:val="000000"/>
          <w:kern w:val="0"/>
          <w:sz w:val="32"/>
          <w:szCs w:val="32"/>
          <w:lang w:eastAsia="zh-CN" w:bidi="ar"/>
        </w:rPr>
        <w:t>、</w:t>
      </w:r>
      <w:r>
        <w:rPr>
          <w:rFonts w:ascii="仿宋_GB2312" w:hAnsi="仿宋_GB2312" w:eastAsia="仿宋_GB2312" w:cs="仿宋_GB2312"/>
          <w:color w:val="000000"/>
          <w:kern w:val="0"/>
          <w:sz w:val="32"/>
          <w:szCs w:val="32"/>
          <w:lang w:bidi="ar"/>
        </w:rPr>
        <w:t>同时</w:t>
      </w:r>
      <w:r>
        <w:rPr>
          <w:rFonts w:hint="eastAsia" w:ascii="仿宋_GB2312" w:hAnsi="仿宋_GB2312" w:eastAsia="仿宋_GB2312" w:cs="仿宋_GB2312"/>
          <w:color w:val="000000"/>
          <w:kern w:val="0"/>
          <w:sz w:val="32"/>
          <w:szCs w:val="32"/>
          <w:lang w:val="en-US" w:eastAsia="zh-CN" w:bidi="ar"/>
        </w:rPr>
        <w:t>验收、同</w:t>
      </w:r>
      <w:r>
        <w:rPr>
          <w:rFonts w:hint="eastAsia" w:ascii="仿宋_GB2312" w:hAnsi="仿宋_GB2312" w:eastAsia="仿宋_GB2312" w:cs="仿宋_GB2312"/>
          <w:kern w:val="0"/>
          <w:sz w:val="32"/>
          <w:szCs w:val="32"/>
          <w:lang w:val="en-US" w:eastAsia="zh-CN" w:bidi="ar"/>
        </w:rPr>
        <w:t>时</w:t>
      </w:r>
      <w:r>
        <w:rPr>
          <w:rFonts w:ascii="仿宋_GB2312" w:hAnsi="仿宋_GB2312" w:eastAsia="仿宋_GB2312" w:cs="仿宋_GB2312"/>
          <w:kern w:val="0"/>
          <w:sz w:val="32"/>
          <w:szCs w:val="32"/>
          <w:lang w:bidi="ar"/>
        </w:rPr>
        <w:t xml:space="preserve">投入使用。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3.3 生活垃圾房位置应固定，设置在市政设施完善、便于分类投放、清运作业的地方。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3.4 生活垃圾房应具备分类标志，图案和色彩应符合国家标准《城市生活垃圾分类标志》（GB/T19095）、</w:t>
      </w:r>
      <w:r>
        <w:rPr>
          <w:rFonts w:hint="eastAsia" w:ascii="仿宋_GB2312" w:hAnsi="仿宋_GB2312" w:eastAsia="仿宋_GB2312" w:cs="仿宋_GB2312"/>
          <w:kern w:val="0"/>
          <w:sz w:val="32"/>
          <w:szCs w:val="32"/>
          <w:lang w:bidi="ar"/>
        </w:rPr>
        <w:t>浙江省《城镇生活垃圾分类标准》（DB</w:t>
      </w:r>
      <w:r>
        <w:rPr>
          <w:rFonts w:hint="eastAsia" w:ascii="仿宋_GB2312" w:hAnsi="仿宋_GB2312" w:eastAsia="仿宋_GB2312" w:cs="仿宋_GB2312"/>
          <w:kern w:val="0"/>
          <w:sz w:val="32"/>
          <w:szCs w:val="32"/>
          <w:lang w:val="en-US" w:eastAsia="zh-CN" w:bidi="ar"/>
        </w:rPr>
        <w:t xml:space="preserve"> </w:t>
      </w:r>
      <w:r>
        <w:rPr>
          <w:rFonts w:hint="eastAsia" w:ascii="仿宋_GB2312" w:hAnsi="仿宋_GB2312" w:eastAsia="仿宋_GB2312" w:cs="仿宋_GB2312"/>
          <w:kern w:val="0"/>
          <w:sz w:val="32"/>
          <w:szCs w:val="32"/>
          <w:lang w:bidi="ar"/>
        </w:rPr>
        <w:t>33</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 xml:space="preserve">T </w:t>
      </w:r>
      <w:r>
        <w:rPr>
          <w:rFonts w:hint="eastAsia" w:ascii="仿宋_GB2312" w:hAnsi="仿宋_GB2312" w:eastAsia="仿宋_GB2312" w:cs="仿宋_GB2312"/>
          <w:kern w:val="0"/>
          <w:sz w:val="32"/>
          <w:szCs w:val="32"/>
          <w:lang w:bidi="ar"/>
        </w:rPr>
        <w:t>1166-2019）规定。</w:t>
      </w:r>
      <w:r>
        <w:rPr>
          <w:rFonts w:ascii="仿宋_GB2312" w:hAnsi="仿宋_GB2312" w:eastAsia="仿宋_GB2312" w:cs="仿宋_GB2312"/>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3.5 生活垃圾房的设计应符合分类、节能、环保、安全、方便的要求。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 xml:space="preserve">3.6 生活垃圾房建筑设计和外部装饰应与周围居民住宅、公共建筑物以及环境相协调。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kern w:val="0"/>
          <w:sz w:val="32"/>
          <w:szCs w:val="32"/>
          <w:lang w:bidi="ar"/>
        </w:rPr>
        <w:t>4 居住小区生活垃圾房设置</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kern w:val="0"/>
          <w:sz w:val="32"/>
          <w:szCs w:val="32"/>
          <w:lang w:bidi="ar"/>
        </w:rPr>
        <w:t>4.1 新建居住小区应设置满足分类投放、收集要求的生活垃圾</w:t>
      </w:r>
      <w:r>
        <w:rPr>
          <w:rFonts w:hint="eastAsia" w:ascii="仿宋_GB2312" w:hAnsi="仿宋_GB2312" w:eastAsia="仿宋_GB2312" w:cs="仿宋_GB2312"/>
          <w:kern w:val="0"/>
          <w:sz w:val="32"/>
          <w:szCs w:val="32"/>
          <w:lang w:val="en-US" w:eastAsia="zh-CN" w:bidi="ar"/>
        </w:rPr>
        <w:t>集置投放站</w:t>
      </w:r>
      <w:r>
        <w:rPr>
          <w:rFonts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集置投放站应在明显位置公示分类信息，公示内容包含生活垃圾分类类别、分类投放点位分布、投放要求、分类收集流程和作业要求、监督举报电话等信息。集置投放站应采用封闭式构筑，方便环卫收运作业，并设置相应作业停车位和标识标线。集置投放站</w:t>
      </w:r>
      <w:r>
        <w:rPr>
          <w:rFonts w:ascii="仿宋_GB2312" w:hAnsi="仿宋_GB2312" w:eastAsia="仿宋_GB2312" w:cs="仿宋_GB2312"/>
          <w:kern w:val="0"/>
          <w:sz w:val="32"/>
          <w:szCs w:val="32"/>
          <w:lang w:bidi="ar"/>
        </w:rPr>
        <w:t>宜包括分类收集间和分类管理间</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4.2 居住小区分类收集间应符合以下规定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1、居住小区应至少设置 1 座分类收集间。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default" w:eastAsia="仿宋_GB2312"/>
          <w:lang w:val="en-US" w:eastAsia="zh-CN"/>
        </w:rPr>
      </w:pPr>
      <w:r>
        <w:rPr>
          <w:rFonts w:ascii="仿宋_GB2312" w:hAnsi="仿宋_GB2312" w:eastAsia="仿宋_GB2312" w:cs="仿宋_GB2312"/>
          <w:color w:val="000000"/>
          <w:kern w:val="0"/>
          <w:sz w:val="32"/>
          <w:szCs w:val="32"/>
          <w:lang w:bidi="ar"/>
        </w:rPr>
        <w:t>2、分类收集间应设置分类投放区、垃圾桶暂存区、垃圾桶清洗区</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具备排污接入，并落实照明、监控、洗手龙头及遮雨棚等设施。</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color w:val="000000"/>
        </w:rPr>
      </w:pPr>
      <w:r>
        <w:rPr>
          <w:rFonts w:ascii="仿宋_GB2312" w:hAnsi="仿宋_GB2312" w:eastAsia="仿宋_GB2312" w:cs="仿宋_GB2312"/>
          <w:color w:val="000000"/>
          <w:kern w:val="0"/>
          <w:sz w:val="32"/>
          <w:szCs w:val="32"/>
          <w:lang w:bidi="ar"/>
        </w:rPr>
        <w:t xml:space="preserve">3、单座分类收集间服务半径不宜超过 120m。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val="en-US" w:eastAsia="zh-CN" w:bidi="ar"/>
        </w:rPr>
        <w:t>新建小区</w:t>
      </w:r>
      <w:r>
        <w:rPr>
          <w:rFonts w:ascii="仿宋_GB2312" w:hAnsi="仿宋_GB2312" w:eastAsia="仿宋_GB2312" w:cs="仿宋_GB2312"/>
          <w:color w:val="000000"/>
          <w:kern w:val="0"/>
          <w:sz w:val="32"/>
          <w:szCs w:val="32"/>
          <w:lang w:bidi="ar"/>
        </w:rPr>
        <w:t>单座分类收集间面积不得小于 25m</w:t>
      </w:r>
      <w:r>
        <w:rPr>
          <w:rFonts w:hint="eastAsia" w:ascii="仿宋_GB2312" w:hAnsi="仿宋_GB2312" w:eastAsia="仿宋_GB2312" w:cs="仿宋_GB2312"/>
          <w:color w:val="000000"/>
          <w:kern w:val="0"/>
          <w:sz w:val="32"/>
          <w:szCs w:val="32"/>
          <w:vertAlign w:val="superscript"/>
          <w:lang w:bidi="ar"/>
        </w:rPr>
        <w:t>2</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老小区改建分类收集间单座面积不得小于10</w:t>
      </w:r>
      <w:r>
        <w:rPr>
          <w:rFonts w:ascii="仿宋_GB2312" w:hAnsi="仿宋_GB2312" w:eastAsia="仿宋_GB2312" w:cs="仿宋_GB2312"/>
          <w:color w:val="000000"/>
          <w:kern w:val="0"/>
          <w:sz w:val="32"/>
          <w:szCs w:val="32"/>
          <w:lang w:bidi="ar"/>
        </w:rPr>
        <w:t>m</w:t>
      </w:r>
      <w:r>
        <w:rPr>
          <w:rFonts w:hint="eastAsia" w:ascii="仿宋_GB2312" w:hAnsi="仿宋_GB2312" w:eastAsia="仿宋_GB2312" w:cs="仿宋_GB2312"/>
          <w:color w:val="000000"/>
          <w:kern w:val="0"/>
          <w:sz w:val="32"/>
          <w:szCs w:val="32"/>
          <w:vertAlign w:val="superscript"/>
          <w:lang w:bidi="ar"/>
        </w:rPr>
        <w:t>2</w:t>
      </w:r>
      <w:r>
        <w:rPr>
          <w:rFonts w:hint="eastAsia" w:ascii="仿宋_GB2312" w:hAnsi="仿宋_GB2312" w:eastAsia="仿宋_GB2312" w:cs="仿宋_GB2312"/>
          <w:color w:val="000000"/>
          <w:kern w:val="0"/>
          <w:sz w:val="32"/>
          <w:szCs w:val="32"/>
          <w:lang w:eastAsia="zh-CN" w:bidi="ar"/>
        </w:rPr>
        <w:t>。</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5、分类收集间总面积应符合下列公式：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S=</w:t>
      </w:r>
      <w:r>
        <w:rPr>
          <w:rFonts w:cs="Calibri"/>
          <w:color w:val="000000"/>
          <w:kern w:val="0"/>
          <w:sz w:val="32"/>
          <w:szCs w:val="32"/>
          <w:lang w:bidi="ar"/>
        </w:rPr>
        <w:t>η</w:t>
      </w:r>
      <w:r>
        <w:rPr>
          <w:rFonts w:ascii="仿宋_GB2312" w:hAnsi="仿宋_GB2312" w:eastAsia="仿宋_GB2312" w:cs="仿宋_GB2312"/>
          <w:color w:val="000000"/>
          <w:kern w:val="0"/>
          <w:sz w:val="32"/>
          <w:szCs w:val="32"/>
          <w:lang w:bidi="ar"/>
        </w:rPr>
        <w:t xml:space="preserve">.A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式中：S——居住小区内分类收集间总面积，m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16"/>
          <w:szCs w:val="16"/>
          <w:lang w:bidi="ar"/>
        </w:rPr>
        <w:t xml:space="preserve"> </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η——户数与面积折算系数，可取 0.06</w:t>
      </w:r>
      <w:r>
        <w:rPr>
          <w:rFonts w:cs="Calibri"/>
          <w:color w:val="000000"/>
          <w:kern w:val="0"/>
          <w:sz w:val="32"/>
          <w:szCs w:val="32"/>
          <w:lang w:bidi="ar"/>
        </w:rPr>
        <w:t>~</w:t>
      </w:r>
      <w:r>
        <w:rPr>
          <w:rFonts w:ascii="仿宋_GB2312" w:hAnsi="仿宋_GB2312" w:eastAsia="仿宋_GB2312" w:cs="仿宋_GB2312"/>
          <w:color w:val="000000"/>
          <w:kern w:val="0"/>
          <w:sz w:val="32"/>
          <w:szCs w:val="32"/>
          <w:lang w:bidi="ar"/>
        </w:rPr>
        <w:t>0.08，m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16"/>
          <w:szCs w:val="16"/>
          <w:vertAlign w:val="superscript"/>
          <w:lang w:bidi="ar"/>
        </w:rPr>
        <w:t xml:space="preserve"> </w:t>
      </w:r>
      <w:r>
        <w:rPr>
          <w:rFonts w:ascii="仿宋_GB2312" w:hAnsi="仿宋_GB2312" w:eastAsia="仿宋_GB2312" w:cs="仿宋_GB2312"/>
          <w:color w:val="000000"/>
          <w:kern w:val="0"/>
          <w:sz w:val="32"/>
          <w:szCs w:val="32"/>
          <w:lang w:bidi="ar"/>
        </w:rPr>
        <w:t xml:space="preserve">/户；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居民小区大于等于 700 户，取下限，居民小区小于 700 户，取上限。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A——居住小区户数，户。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4.3 居住小区分类管理间应符合以下规定：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1、居住小区至少设置 1 处分类管理间，分类管理间宜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与分类收集间合建。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2、分类管理间应设置洗手池、储物区、拖把池。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3、分类管理面积宜为 8m</w:t>
      </w:r>
      <w:r>
        <w:rPr>
          <w:rFonts w:hint="eastAsia" w:ascii="仿宋_GB2312" w:hAnsi="仿宋_GB2312" w:eastAsia="仿宋_GB2312" w:cs="仿宋_GB2312"/>
          <w:color w:val="000000"/>
          <w:kern w:val="0"/>
          <w:sz w:val="32"/>
          <w:szCs w:val="32"/>
          <w:vertAlign w:val="superscript"/>
          <w:lang w:bidi="ar"/>
        </w:rPr>
        <w:t>2</w:t>
      </w:r>
      <w:r>
        <w:rPr>
          <w:rFonts w:cs="Calibri"/>
          <w:color w:val="000000"/>
          <w:kern w:val="0"/>
          <w:sz w:val="32"/>
          <w:szCs w:val="32"/>
          <w:lang w:bidi="ar"/>
        </w:rPr>
        <w:t>~</w:t>
      </w:r>
      <w:r>
        <w:rPr>
          <w:rFonts w:ascii="仿宋_GB2312" w:hAnsi="仿宋_GB2312" w:eastAsia="仿宋_GB2312" w:cs="仿宋_GB2312"/>
          <w:color w:val="000000"/>
          <w:kern w:val="0"/>
          <w:sz w:val="32"/>
          <w:szCs w:val="32"/>
          <w:lang w:bidi="ar"/>
        </w:rPr>
        <w:t>9m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16"/>
          <w:szCs w:val="16"/>
          <w:lang w:bidi="ar"/>
        </w:rPr>
        <w:t xml:space="preserve"> </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color w:val="000000"/>
          <w:kern w:val="0"/>
          <w:sz w:val="32"/>
          <w:szCs w:val="32"/>
          <w:lang w:bidi="ar"/>
        </w:rPr>
        <w:t>5 单位生活垃圾房设置</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5.1 单位应在内部至少设置 1 座生活垃圾房，生活垃圾房面积不应小于 10m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16"/>
          <w:szCs w:val="16"/>
          <w:lang w:bidi="ar"/>
        </w:rPr>
        <w:t xml:space="preserve"> </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5.2 商用写字楼、购物中心、大型超市垃圾房应具备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包装物的存放空间。</w:t>
      </w:r>
      <w:r>
        <w:rPr>
          <w:rFonts w:hint="eastAsia" w:ascii="宋体" w:hAnsi="宋体" w:cs="宋体"/>
          <w:color w:val="000000"/>
          <w:kern w:val="0"/>
          <w:sz w:val="20"/>
          <w:szCs w:val="20"/>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5.3 餐饮单位生活垃圾房必须有独立的餐饮垃圾存放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空间。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5.4 高层建筑的生活垃圾房宜设置在底层，其生活垃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圾房面积可按高层累计总建筑面积的 0.1%考虑。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5.5 加工制造生产型企业应在生产区、生活办公区分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别设置生活垃圾房；生产区工业固废严禁混入生活办公区垃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圾房。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5.6 医院至少设置 1 处生活垃圾房；严禁医疗垃圾混入投放。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color w:val="000000"/>
          <w:kern w:val="0"/>
          <w:sz w:val="32"/>
          <w:szCs w:val="32"/>
          <w:lang w:bidi="ar"/>
        </w:rPr>
        <w:t>6 配套设施设备</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6.1 生活垃圾房应配备给排水设施；排水系统应实行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雨污分流。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hint="default"/>
          <w:lang w:val="en-US"/>
        </w:rPr>
      </w:pPr>
      <w:r>
        <w:rPr>
          <w:rFonts w:ascii="仿宋_GB2312" w:hAnsi="仿宋_GB2312" w:eastAsia="仿宋_GB2312" w:cs="仿宋_GB2312"/>
          <w:color w:val="000000"/>
          <w:kern w:val="0"/>
          <w:sz w:val="32"/>
          <w:szCs w:val="32"/>
          <w:lang w:bidi="ar"/>
        </w:rPr>
        <w:t>6.2 生活垃圾房应设有通风设施，宜配置除臭设备、防臭地漏；生活垃圾房设置在</w:t>
      </w:r>
      <w:r>
        <w:rPr>
          <w:rFonts w:hint="eastAsia" w:ascii="仿宋_GB2312" w:hAnsi="仿宋_GB2312" w:eastAsia="仿宋_GB2312" w:cs="仿宋_GB2312"/>
          <w:color w:val="000000"/>
          <w:kern w:val="0"/>
          <w:sz w:val="32"/>
          <w:szCs w:val="32"/>
          <w:lang w:val="en-US" w:eastAsia="zh-CN" w:bidi="ar"/>
        </w:rPr>
        <w:t>地下</w:t>
      </w:r>
      <w:r>
        <w:rPr>
          <w:rFonts w:ascii="仿宋_GB2312" w:hAnsi="仿宋_GB2312" w:eastAsia="仿宋_GB2312" w:cs="仿宋_GB2312"/>
          <w:color w:val="000000"/>
          <w:kern w:val="0"/>
          <w:sz w:val="32"/>
          <w:szCs w:val="32"/>
          <w:lang w:bidi="ar"/>
        </w:rPr>
        <w:t>层时，必须配置除臭设备。</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6.3 生活垃圾房内应设置消毒、杀虫设施及装置。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6.4 生活垃圾房应标识明晰。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6.5 生活垃圾房应配置防水插座、开关、灯具。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6.6 生活垃圾房应配置灭火器。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6.7 居住区生活垃圾房</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集置投放站</w:t>
      </w:r>
      <w:r>
        <w:rPr>
          <w:rFonts w:hint="eastAsia" w:ascii="仿宋_GB2312" w:hAnsi="仿宋_GB2312" w:eastAsia="仿宋_GB2312" w:cs="仿宋_GB2312"/>
          <w:color w:val="000000"/>
          <w:kern w:val="0"/>
          <w:sz w:val="32"/>
          <w:szCs w:val="32"/>
          <w:lang w:eastAsia="zh-CN" w:bidi="ar"/>
        </w:rPr>
        <w:t>）</w:t>
      </w:r>
      <w:r>
        <w:rPr>
          <w:rFonts w:ascii="仿宋_GB2312" w:hAnsi="仿宋_GB2312" w:eastAsia="仿宋_GB2312" w:cs="仿宋_GB2312"/>
          <w:color w:val="000000"/>
          <w:kern w:val="0"/>
          <w:sz w:val="32"/>
          <w:szCs w:val="32"/>
          <w:lang w:bidi="ar"/>
        </w:rPr>
        <w:t>内配置的“</w:t>
      </w:r>
      <w:r>
        <w:rPr>
          <w:rFonts w:hint="eastAsia" w:ascii="仿宋_GB2312" w:hAnsi="仿宋_GB2312" w:eastAsia="仿宋_GB2312" w:cs="仿宋_GB2312"/>
          <w:color w:val="000000"/>
          <w:kern w:val="0"/>
          <w:sz w:val="32"/>
          <w:szCs w:val="32"/>
          <w:lang w:bidi="ar"/>
        </w:rPr>
        <w:t>其他垃圾</w:t>
      </w:r>
      <w:r>
        <w:rPr>
          <w:rFonts w:ascii="仿宋_GB2312" w:hAnsi="仿宋_GB2312" w:eastAsia="仿宋_GB2312" w:cs="仿宋_GB2312"/>
          <w:color w:val="000000"/>
          <w:kern w:val="0"/>
          <w:sz w:val="32"/>
          <w:szCs w:val="32"/>
          <w:lang w:bidi="ar"/>
        </w:rPr>
        <w:t>、</w:t>
      </w:r>
      <w:r>
        <w:rPr>
          <w:rFonts w:hint="eastAsia" w:ascii="仿宋_GB2312" w:hAnsi="仿宋_GB2312" w:eastAsia="仿宋_GB2312" w:cs="仿宋_GB2312"/>
          <w:color w:val="000000"/>
          <w:kern w:val="0"/>
          <w:sz w:val="32"/>
          <w:szCs w:val="32"/>
          <w:lang w:bidi="ar"/>
        </w:rPr>
        <w:t>易腐垃圾</w:t>
      </w:r>
      <w:r>
        <w:rPr>
          <w:rFonts w:ascii="仿宋_GB2312" w:hAnsi="仿宋_GB2312" w:eastAsia="仿宋_GB2312" w:cs="仿宋_GB2312"/>
          <w:color w:val="000000"/>
          <w:kern w:val="0"/>
          <w:sz w:val="32"/>
          <w:szCs w:val="32"/>
          <w:lang w:bidi="ar"/>
        </w:rPr>
        <w:t xml:space="preserve">”分类垃圾桶比例宜为 2:1。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6.8 生活垃圾房内垃圾桶应采用标准化垃圾桶；垃圾桶规格为 240L，垃圾桶应符合《塑料垃圾桶通用技术条件CJ/T280）的规定。</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hint="eastAsia" w:ascii="仿宋_GB2312" w:hAnsi="仿宋_GB2312" w:eastAsia="仿宋_GB2312" w:cs="仿宋_GB2312"/>
          <w:color w:val="000000"/>
          <w:kern w:val="0"/>
          <w:sz w:val="32"/>
          <w:szCs w:val="32"/>
          <w:lang w:val="en-US" w:eastAsia="zh-CN" w:bidi="ar"/>
        </w:rPr>
        <w:t>6.9生活垃圾房内垃圾桶可具备称重、识别积分等功能。</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jc w:val="center"/>
        <w:textAlignment w:val="auto"/>
        <w:rPr>
          <w:b/>
          <w:bCs/>
        </w:rPr>
      </w:pPr>
      <w:r>
        <w:rPr>
          <w:rFonts w:ascii="仿宋_GB2312" w:hAnsi="仿宋_GB2312" w:eastAsia="仿宋_GB2312" w:cs="仿宋_GB2312"/>
          <w:b/>
          <w:bCs/>
          <w:color w:val="000000"/>
          <w:kern w:val="0"/>
          <w:sz w:val="32"/>
          <w:szCs w:val="32"/>
          <w:lang w:bidi="ar"/>
        </w:rPr>
        <w:t>7 建筑设计</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7.1 生活垃圾房室内净高不低于 3m。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7.2 生活垃圾房地面坡度应为 0.01-0.015。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7.3 生活垃圾房投放窗口面积宜为 0.25m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32"/>
          <w:szCs w:val="32"/>
          <w:lang w:bidi="ar"/>
        </w:rPr>
        <w:t>-0.30m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16"/>
          <w:szCs w:val="16"/>
          <w:lang w:bidi="ar"/>
        </w:rPr>
        <w:t xml:space="preserve"> </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7.4 垃圾桶清洗区面积宜为 2m</w:t>
      </w:r>
      <w:r>
        <w:rPr>
          <w:rFonts w:hint="eastAsia" w:ascii="仿宋_GB2312" w:hAnsi="仿宋_GB2312" w:eastAsia="仿宋_GB2312" w:cs="仿宋_GB2312"/>
          <w:color w:val="000000"/>
          <w:kern w:val="0"/>
          <w:sz w:val="32"/>
          <w:szCs w:val="32"/>
          <w:vertAlign w:val="superscript"/>
          <w:lang w:bidi="ar"/>
        </w:rPr>
        <w:t>2</w:t>
      </w:r>
      <w:r>
        <w:rPr>
          <w:rFonts w:ascii="仿宋_GB2312" w:hAnsi="仿宋_GB2312" w:eastAsia="仿宋_GB2312" w:cs="仿宋_GB2312"/>
          <w:color w:val="000000"/>
          <w:kern w:val="0"/>
          <w:sz w:val="32"/>
          <w:szCs w:val="32"/>
          <w:lang w:bidi="ar"/>
        </w:rPr>
        <w:t xml:space="preserve">。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7.5 生活垃圾房内墙面应采用光滑、便于清洗、防水 </w:t>
      </w:r>
    </w:p>
    <w:p>
      <w:pPr>
        <w:keepNext w:val="0"/>
        <w:keepLines w:val="0"/>
        <w:pageBreakBefore w:val="0"/>
        <w:widowControl/>
        <w:kinsoku/>
        <w:wordWrap/>
        <w:overflowPunct/>
        <w:topLinePunct w:val="0"/>
        <w:autoSpaceDE/>
        <w:autoSpaceDN/>
        <w:bidi w:val="0"/>
        <w:spacing w:line="560" w:lineRule="exact"/>
        <w:jc w:val="both"/>
        <w:textAlignment w:val="auto"/>
      </w:pPr>
      <w:r>
        <w:rPr>
          <w:rFonts w:ascii="仿宋_GB2312" w:hAnsi="仿宋_GB2312" w:eastAsia="仿宋_GB2312" w:cs="仿宋_GB2312"/>
          <w:color w:val="000000"/>
          <w:kern w:val="0"/>
          <w:sz w:val="32"/>
          <w:szCs w:val="32"/>
          <w:lang w:bidi="ar"/>
        </w:rPr>
        <w:t xml:space="preserve">的材料；外墙应具备防虫材料，平整、光洁、易清理。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pPr>
      <w:r>
        <w:rPr>
          <w:rFonts w:ascii="仿宋_GB2312" w:hAnsi="仿宋_GB2312" w:eastAsia="仿宋_GB2312" w:cs="仿宋_GB2312"/>
          <w:color w:val="000000"/>
          <w:kern w:val="0"/>
          <w:sz w:val="32"/>
          <w:szCs w:val="32"/>
          <w:lang w:bidi="ar"/>
        </w:rPr>
        <w:t xml:space="preserve">7.6 地面应采用防渗、防滑材料；应耐磨、耐腐蚀、防滑。 </w:t>
      </w:r>
    </w:p>
    <w:p>
      <w:pPr>
        <w:keepNext w:val="0"/>
        <w:keepLines w:val="0"/>
        <w:pageBreakBefore w:val="0"/>
        <w:widowControl/>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7.7 生活垃圾房门宜采用不锈钢门。</w:t>
      </w:r>
    </w:p>
    <w:p>
      <w:pPr>
        <w:keepNext w:val="0"/>
        <w:keepLines w:val="0"/>
        <w:pageBreakBefore w:val="0"/>
        <w:widowControl/>
        <w:kinsoku/>
        <w:wordWrap/>
        <w:overflowPunct/>
        <w:topLinePunct w:val="0"/>
        <w:autoSpaceDE/>
        <w:autoSpaceDN/>
        <w:bidi w:val="0"/>
        <w:spacing w:line="560" w:lineRule="exact"/>
        <w:ind w:firstLine="2979" w:firstLineChars="9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bCs/>
          <w:color w:val="000000"/>
          <w:kern w:val="0"/>
          <w:sz w:val="32"/>
          <w:szCs w:val="32"/>
          <w:lang w:bidi="ar"/>
        </w:rPr>
        <w:t>8 可回收物回收点</w:t>
      </w:r>
    </w:p>
    <w:p>
      <w:pPr>
        <w:keepNext w:val="0"/>
        <w:keepLines w:val="0"/>
        <w:pageBreakBefore w:val="0"/>
        <w:kinsoku/>
        <w:wordWrap/>
        <w:overflowPunct/>
        <w:topLinePunct w:val="0"/>
        <w:autoSpaceDE/>
        <w:autoSpaceDN/>
        <w:bidi w:val="0"/>
        <w:spacing w:line="560" w:lineRule="exact"/>
        <w:ind w:left="17" w:leftChars="8" w:firstLine="638" w:firstLineChars="193"/>
        <w:jc w:val="both"/>
        <w:textAlignment w:val="auto"/>
        <w:rPr>
          <w:rFonts w:hint="eastAsia" w:ascii="仿宋" w:hAnsi="仿宋" w:eastAsia="仿宋" w:cs="仿宋"/>
          <w:sz w:val="32"/>
          <w:szCs w:val="32"/>
        </w:rPr>
      </w:pPr>
      <w:r>
        <w:rPr>
          <w:rFonts w:hint="eastAsia" w:ascii="仿宋" w:hAnsi="仿宋" w:eastAsia="仿宋" w:cs="仿宋"/>
          <w:sz w:val="32"/>
          <w:szCs w:val="32"/>
        </w:rPr>
        <w:t xml:space="preserve">8.1 </w:t>
      </w:r>
      <w:r>
        <w:rPr>
          <w:rFonts w:hint="eastAsia" w:ascii="仿宋" w:hAnsi="仿宋" w:eastAsia="仿宋" w:cs="仿宋"/>
          <w:sz w:val="32"/>
          <w:szCs w:val="32"/>
          <w:lang w:val="en-US" w:eastAsia="zh-CN"/>
        </w:rPr>
        <w:t>可回收物</w:t>
      </w:r>
      <w:r>
        <w:rPr>
          <w:rFonts w:hint="eastAsia" w:ascii="仿宋" w:hAnsi="仿宋" w:eastAsia="仿宋" w:cs="仿宋"/>
          <w:sz w:val="32"/>
          <w:szCs w:val="32"/>
        </w:rPr>
        <w:t>回收点可结合垃圾房改造，建成可满足周边市民交投暂存需求的标准型可回收物回收服务点（一般 8-10 平方米）。</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8.2 社区无空间条件或垃圾房无冗余空间的，也可采用自助回收箱建成自助型可回收物回收服务点，</w:t>
      </w:r>
      <w:r>
        <w:rPr>
          <w:rFonts w:hint="eastAsia" w:ascii="仿宋" w:hAnsi="仿宋" w:eastAsia="仿宋" w:cs="仿宋"/>
          <w:sz w:val="32"/>
          <w:szCs w:val="32"/>
          <w:lang w:eastAsia="zh-CN"/>
        </w:rPr>
        <w:t>并</w:t>
      </w:r>
      <w:r>
        <w:rPr>
          <w:rFonts w:hint="eastAsia" w:ascii="仿宋" w:hAnsi="仿宋" w:eastAsia="仿宋" w:cs="仿宋"/>
          <w:sz w:val="32"/>
          <w:szCs w:val="32"/>
        </w:rPr>
        <w:t>采用设立定时定点流动回收车提供定期或预约服务等形式建成流动型可回收物回收服务点。</w:t>
      </w:r>
    </w:p>
    <w:p>
      <w:pPr>
        <w:keepNext w:val="0"/>
        <w:keepLines w:val="0"/>
        <w:pageBreakBefore w:val="0"/>
        <w:kinsoku/>
        <w:wordWrap/>
        <w:overflowPunct/>
        <w:topLinePunct w:val="0"/>
        <w:autoSpaceDE/>
        <w:autoSpaceDN/>
        <w:bidi w:val="0"/>
        <w:spacing w:line="560" w:lineRule="exact"/>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9 居民装修</w:t>
      </w:r>
      <w:r>
        <w:rPr>
          <w:rFonts w:hint="eastAsia" w:ascii="仿宋" w:hAnsi="仿宋" w:eastAsia="仿宋" w:cs="仿宋"/>
          <w:b/>
          <w:bCs/>
          <w:sz w:val="32"/>
          <w:szCs w:val="32"/>
          <w:lang w:eastAsia="zh-CN"/>
        </w:rPr>
        <w:t>垃圾、</w:t>
      </w:r>
      <w:r>
        <w:rPr>
          <w:rFonts w:hint="eastAsia" w:ascii="仿宋" w:hAnsi="仿宋" w:eastAsia="仿宋" w:cs="仿宋"/>
          <w:b/>
          <w:bCs/>
          <w:sz w:val="32"/>
          <w:szCs w:val="32"/>
        </w:rPr>
        <w:t>大件垃圾、园林绿化垃圾暂存点</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9.1小区内必须规范设置至少1处居民装修</w:t>
      </w:r>
      <w:r>
        <w:rPr>
          <w:rFonts w:hint="eastAsia" w:ascii="仿宋_GB2312" w:hAnsi="仿宋_GB2312" w:eastAsia="仿宋_GB2312" w:cs="仿宋_GB2312"/>
          <w:color w:val="000000"/>
          <w:sz w:val="32"/>
          <w:szCs w:val="32"/>
          <w:shd w:val="clear" w:color="auto" w:fill="FFFFFF"/>
          <w:lang w:eastAsia="zh-CN"/>
        </w:rPr>
        <w:t>垃圾、</w:t>
      </w:r>
      <w:r>
        <w:rPr>
          <w:rFonts w:hint="eastAsia" w:ascii="仿宋_GB2312" w:hAnsi="仿宋_GB2312" w:eastAsia="仿宋_GB2312" w:cs="仿宋_GB2312"/>
          <w:color w:val="000000"/>
          <w:sz w:val="32"/>
          <w:szCs w:val="32"/>
          <w:shd w:val="clear" w:color="auto" w:fill="FFFFFF"/>
        </w:rPr>
        <w:t>大件垃圾、园林绿化垃圾暂存点。</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9.2按装修垃圾、大件垃圾、园林绿化等分类分区物理隔断。</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9.3新建小区投入使用早期按需可临时设置多处装修垃圾投放点，满足居民集中装修期间垃圾量较多的需求。</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9.4应满足居民投放量需要，占地不小于30M</w:t>
      </w:r>
      <w:r>
        <w:rPr>
          <w:rFonts w:hint="eastAsia" w:ascii="仿宋_GB2312" w:hAnsi="仿宋_GB2312" w:eastAsia="仿宋_GB2312" w:cs="仿宋_GB2312"/>
          <w:color w:val="000000"/>
          <w:sz w:val="32"/>
          <w:szCs w:val="32"/>
          <w:shd w:val="clear" w:color="auto" w:fill="FFFFFF"/>
          <w:vertAlign w:val="superscript"/>
        </w:rPr>
        <w:t>2</w:t>
      </w:r>
      <w:r>
        <w:rPr>
          <w:rFonts w:hint="eastAsia" w:ascii="仿宋_GB2312" w:hAnsi="仿宋_GB2312" w:eastAsia="仿宋_GB2312" w:cs="仿宋_GB2312"/>
          <w:color w:val="000000"/>
          <w:sz w:val="32"/>
          <w:szCs w:val="32"/>
          <w:shd w:val="clear" w:color="auto" w:fill="FFFFFF"/>
        </w:rPr>
        <w:t>。</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9.5暂存点</w:t>
      </w:r>
      <w:r>
        <w:rPr>
          <w:rFonts w:hint="eastAsia" w:ascii="仿宋_GB2312" w:hAnsi="仿宋_GB2312" w:eastAsia="仿宋_GB2312" w:cs="仿宋_GB2312"/>
          <w:color w:val="000000"/>
          <w:sz w:val="32"/>
          <w:szCs w:val="32"/>
          <w:shd w:val="clear" w:color="auto" w:fill="FFFFFF"/>
          <w:lang w:val="en-US" w:eastAsia="zh-CN"/>
        </w:rPr>
        <w:t>围墙</w:t>
      </w:r>
      <w:r>
        <w:rPr>
          <w:rFonts w:hint="eastAsia" w:ascii="仿宋_GB2312" w:hAnsi="仿宋_GB2312" w:eastAsia="仿宋_GB2312" w:cs="仿宋_GB2312"/>
          <w:color w:val="000000"/>
          <w:sz w:val="32"/>
          <w:szCs w:val="32"/>
          <w:shd w:val="clear" w:color="auto" w:fill="FFFFFF"/>
        </w:rPr>
        <w:t>高度</w:t>
      </w:r>
      <w:r>
        <w:rPr>
          <w:rFonts w:hint="eastAsia" w:ascii="仿宋_GB2312" w:hAnsi="仿宋_GB2312" w:eastAsia="仿宋_GB2312" w:cs="仿宋_GB2312"/>
          <w:color w:val="000000"/>
          <w:sz w:val="32"/>
          <w:szCs w:val="32"/>
          <w:shd w:val="clear" w:color="auto" w:fill="FFFFFF"/>
          <w:lang w:val="en-US" w:eastAsia="zh-CN"/>
        </w:rPr>
        <w:t>1.5</w:t>
      </w:r>
      <w:r>
        <w:rPr>
          <w:rFonts w:hint="eastAsia" w:ascii="仿宋_GB2312" w:hAnsi="仿宋_GB2312" w:eastAsia="仿宋_GB2312" w:cs="仿宋_GB2312"/>
          <w:color w:val="000000"/>
          <w:sz w:val="32"/>
          <w:szCs w:val="32"/>
          <w:shd w:val="clear" w:color="auto" w:fill="FFFFFF"/>
        </w:rPr>
        <w:t>米</w:t>
      </w:r>
      <w:r>
        <w:rPr>
          <w:rFonts w:hint="eastAsia" w:ascii="仿宋_GB2312" w:hAnsi="仿宋_GB2312" w:eastAsia="仿宋_GB2312" w:cs="仿宋_GB2312"/>
          <w:color w:val="000000"/>
          <w:sz w:val="32"/>
          <w:szCs w:val="32"/>
          <w:shd w:val="clear" w:color="auto" w:fill="FFFFFF"/>
          <w:lang w:val="en-US" w:eastAsia="zh-CN"/>
        </w:rPr>
        <w:t>以上</w:t>
      </w:r>
      <w:r>
        <w:rPr>
          <w:rFonts w:hint="eastAsia"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color w:val="000000"/>
          <w:sz w:val="32"/>
          <w:szCs w:val="32"/>
          <w:shd w:val="clear" w:color="auto" w:fill="FFFFFF"/>
          <w:lang w:val="en-US" w:eastAsia="zh-CN"/>
        </w:rPr>
        <w:t>并能上锁，</w:t>
      </w:r>
      <w:r>
        <w:rPr>
          <w:rFonts w:hint="eastAsia" w:ascii="仿宋_GB2312" w:hAnsi="仿宋_GB2312" w:eastAsia="仿宋_GB2312" w:cs="仿宋_GB2312"/>
          <w:color w:val="000000"/>
          <w:sz w:val="32"/>
          <w:szCs w:val="32"/>
          <w:shd w:val="clear" w:color="auto" w:fill="FFFFFF"/>
        </w:rPr>
        <w:t>满足清运作业要求。</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ascii="仿宋_GB2312" w:hAnsi="仿宋_GB2312" w:eastAsia="仿宋_GB2312" w:cs="仿宋_GB2312"/>
          <w:kern w:val="0"/>
          <w:sz w:val="32"/>
          <w:szCs w:val="32"/>
          <w:lang w:bidi="ar"/>
        </w:rPr>
      </w:pPr>
      <w:r>
        <w:rPr>
          <w:rFonts w:hint="eastAsia" w:ascii="仿宋_GB2312" w:hAnsi="仿宋_GB2312" w:eastAsia="仿宋_GB2312" w:cs="仿宋_GB2312"/>
          <w:color w:val="000000"/>
          <w:sz w:val="32"/>
          <w:szCs w:val="32"/>
          <w:shd w:val="clear" w:color="auto" w:fill="FFFFFF"/>
        </w:rPr>
        <w:t>9.6暂存点</w:t>
      </w:r>
      <w:r>
        <w:rPr>
          <w:rFonts w:ascii="仿宋_GB2312" w:hAnsi="仿宋_GB2312" w:eastAsia="仿宋_GB2312" w:cs="仿宋_GB2312"/>
          <w:kern w:val="0"/>
          <w:sz w:val="32"/>
          <w:szCs w:val="32"/>
          <w:lang w:bidi="ar"/>
        </w:rPr>
        <w:t>建筑设计和外部装饰应与周围居民住宅、公共建筑物以及</w:t>
      </w:r>
      <w:r>
        <w:rPr>
          <w:rFonts w:hint="eastAsia" w:ascii="仿宋_GB2312" w:hAnsi="仿宋_GB2312" w:eastAsia="仿宋_GB2312" w:cs="仿宋_GB2312"/>
          <w:kern w:val="0"/>
          <w:sz w:val="32"/>
          <w:szCs w:val="32"/>
          <w:lang w:bidi="ar"/>
        </w:rPr>
        <w:t>整体</w:t>
      </w:r>
      <w:r>
        <w:rPr>
          <w:rFonts w:ascii="仿宋_GB2312" w:hAnsi="仿宋_GB2312" w:eastAsia="仿宋_GB2312" w:cs="仿宋_GB2312"/>
          <w:kern w:val="0"/>
          <w:sz w:val="32"/>
          <w:szCs w:val="32"/>
          <w:lang w:bidi="ar"/>
        </w:rPr>
        <w:t>环境相协调。</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color w:val="000000"/>
          <w:sz w:val="32"/>
          <w:szCs w:val="32"/>
          <w:shd w:val="clear" w:color="auto" w:fill="FFFFFF"/>
        </w:rPr>
        <w:t>9.7设置投放宣传栏、收运指示牌等信息</w:t>
      </w:r>
      <w:r>
        <w:rPr>
          <w:rFonts w:hint="eastAsia" w:ascii="仿宋_GB2312" w:hAnsi="仿宋_GB2312" w:eastAsia="仿宋_GB2312" w:cs="仿宋_GB2312"/>
          <w:sz w:val="32"/>
          <w:szCs w:val="32"/>
          <w:shd w:val="clear" w:color="auto" w:fill="FFFFFF"/>
        </w:rPr>
        <w:t>，设置灭火箱等消防设施设备。</w:t>
      </w: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9.8交通方便、防止扰民，做好防尘降噪措施。</w:t>
      </w:r>
    </w:p>
    <w:p>
      <w:pPr>
        <w:keepNext w:val="0"/>
        <w:keepLines w:val="0"/>
        <w:pageBreakBefore w:val="0"/>
        <w:widowControl/>
        <w:kinsoku/>
        <w:wordWrap/>
        <w:overflowPunct/>
        <w:topLinePunct w:val="0"/>
        <w:autoSpaceDE/>
        <w:autoSpaceDN/>
        <w:bidi w:val="0"/>
        <w:adjustRightInd/>
        <w:snapToGrid/>
        <w:spacing w:line="240" w:lineRule="auto"/>
        <w:ind w:firstLine="2317" w:firstLineChars="700"/>
        <w:jc w:val="both"/>
        <w:textAlignment w:val="auto"/>
        <w:rPr>
          <w:b/>
          <w:bCs/>
        </w:rPr>
      </w:pPr>
      <w:r>
        <w:rPr>
          <w:rFonts w:hint="eastAsia" w:ascii="仿宋_GB2312" w:hAnsi="仿宋_GB2312" w:eastAsia="仿宋_GB2312" w:cs="仿宋_GB2312"/>
          <w:b/>
          <w:bCs/>
          <w:color w:val="000000"/>
          <w:kern w:val="0"/>
          <w:sz w:val="32"/>
          <w:szCs w:val="32"/>
          <w:lang w:bidi="ar"/>
        </w:rPr>
        <w:t>10</w:t>
      </w:r>
      <w:r>
        <w:rPr>
          <w:rFonts w:ascii="仿宋_GB2312" w:hAnsi="仿宋_GB2312" w:eastAsia="仿宋_GB2312" w:cs="仿宋_GB2312"/>
          <w:b/>
          <w:bCs/>
          <w:color w:val="000000"/>
          <w:kern w:val="0"/>
          <w:sz w:val="32"/>
          <w:szCs w:val="32"/>
          <w:lang w:bidi="ar"/>
        </w:rPr>
        <w:t>附录</w:t>
      </w:r>
      <w:r>
        <w:rPr>
          <w:rFonts w:hint="eastAsia" w:ascii="仿宋_GB2312" w:hAnsi="仿宋_GB2312" w:eastAsia="仿宋_GB2312" w:cs="仿宋_GB2312"/>
          <w:b/>
          <w:bCs/>
          <w:color w:val="000000"/>
          <w:kern w:val="0"/>
          <w:sz w:val="32"/>
          <w:szCs w:val="32"/>
          <w:lang w:eastAsia="zh-CN" w:bidi="ar"/>
        </w:rPr>
        <w:t>生活垃圾分类收集房图示</w:t>
      </w: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t xml:space="preserve">A 建筑面积 33 平方米 </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仿宋_GB2312" w:hAnsi="仿宋_GB2312" w:eastAsia="仿宋_GB2312" w:cs="仿宋_GB2312"/>
          <w:color w:val="000000"/>
          <w:kern w:val="0"/>
          <w:sz w:val="32"/>
          <w:szCs w:val="32"/>
          <w:lang w:bidi="ar"/>
        </w:rPr>
      </w:pPr>
      <w:r>
        <w:rPr>
          <w:rFonts w:ascii="仿宋_GB2312" w:hAnsi="仿宋_GB2312" w:eastAsia="仿宋_GB2312" w:cs="仿宋_GB2312"/>
          <w:color w:val="000000"/>
          <w:kern w:val="0"/>
          <w:sz w:val="32"/>
          <w:szCs w:val="32"/>
          <w:lang w:bidi="ar"/>
        </w:rPr>
        <w:drawing>
          <wp:inline distT="0" distB="0" distL="114300" distR="114300">
            <wp:extent cx="4001135" cy="2130425"/>
            <wp:effectExtent l="0" t="0" r="18415" b="3175"/>
            <wp:docPr id="3" name="图片 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3"/>
                    <pic:cNvPicPr>
                      <a:picLocks noChangeAspect="1"/>
                    </pic:cNvPicPr>
                  </pic:nvPicPr>
                  <pic:blipFill>
                    <a:blip r:embed="rId5"/>
                    <a:stretch>
                      <a:fillRect/>
                    </a:stretch>
                  </pic:blipFill>
                  <pic:spPr>
                    <a:xfrm>
                      <a:off x="0" y="0"/>
                      <a:ext cx="4001135" cy="213042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42" w:firstLineChars="200"/>
        <w:jc w:val="both"/>
        <w:textAlignment w:val="auto"/>
      </w:pPr>
      <w:r>
        <w:rPr>
          <w:rFonts w:hint="eastAsia" w:eastAsia="宋体"/>
          <w:lang w:eastAsia="zh-CN"/>
        </w:rPr>
        <w:drawing>
          <wp:anchor distT="0" distB="0" distL="114300" distR="114300" simplePos="0" relativeHeight="251661312" behindDoc="0" locked="0" layoutInCell="1" allowOverlap="1">
            <wp:simplePos x="0" y="0"/>
            <wp:positionH relativeFrom="column">
              <wp:posOffset>711200</wp:posOffset>
            </wp:positionH>
            <wp:positionV relativeFrom="paragraph">
              <wp:posOffset>402590</wp:posOffset>
            </wp:positionV>
            <wp:extent cx="4077970" cy="2462530"/>
            <wp:effectExtent l="0" t="0" r="17780" b="13970"/>
            <wp:wrapNone/>
            <wp:docPr id="4" name="图片 2" descr="3FDF2AAA62E77D6FD0FCF605F170F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FDF2AAA62E77D6FD0FCF605F170FBA3"/>
                    <pic:cNvPicPr>
                      <a:picLocks noChangeAspect="1"/>
                    </pic:cNvPicPr>
                  </pic:nvPicPr>
                  <pic:blipFill>
                    <a:blip r:embed="rId6"/>
                    <a:stretch>
                      <a:fillRect/>
                    </a:stretch>
                  </pic:blipFill>
                  <pic:spPr>
                    <a:xfrm>
                      <a:off x="0" y="0"/>
                      <a:ext cx="4077970" cy="2462530"/>
                    </a:xfrm>
                    <a:prstGeom prst="rect">
                      <a:avLst/>
                    </a:prstGeom>
                    <a:noFill/>
                    <a:ln w="9525">
                      <a:noFill/>
                    </a:ln>
                  </pic:spPr>
                </pic:pic>
              </a:graphicData>
            </a:graphic>
          </wp:anchor>
        </w:drawing>
      </w:r>
      <w:r>
        <w:rPr>
          <w:rFonts w:ascii="仿宋_GB2312" w:hAnsi="仿宋_GB2312" w:eastAsia="仿宋_GB2312" w:cs="仿宋_GB2312"/>
          <w:color w:val="000000"/>
          <w:kern w:val="0"/>
          <w:sz w:val="32"/>
          <w:szCs w:val="32"/>
          <w:lang w:bidi="ar"/>
        </w:rPr>
        <w:t xml:space="preserve">B 建筑面积 44 平方米 </w:t>
      </w:r>
      <w:r>
        <w:rPr>
          <w:rFonts w:hint="eastAsia" w:ascii="宋体" w:hAnsi="宋体" w:cs="宋体"/>
          <w:color w:val="000000"/>
          <w:kern w:val="0"/>
          <w:sz w:val="20"/>
          <w:szCs w:val="20"/>
          <w:lang w:bidi="ar"/>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kinsoku/>
        <w:wordWrap/>
        <w:overflowPunct/>
        <w:topLinePunct w:val="0"/>
        <w:autoSpaceDE/>
        <w:autoSpaceDN/>
        <w:bidi w:val="0"/>
        <w:adjustRightInd/>
        <w:snapToGrid/>
        <w:spacing w:line="240" w:lineRule="auto"/>
        <w:ind w:firstLine="662" w:firstLineChars="200"/>
        <w:jc w:val="both"/>
        <w:textAlignment w:val="auto"/>
        <w:rPr>
          <w:rFonts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C</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en-US" w:eastAsia="zh-CN" w:bidi="ar"/>
        </w:rPr>
        <w:t>垃圾分类箱房参考1</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 xml:space="preserve"> </w:t>
      </w:r>
    </w:p>
    <w:p>
      <w:pPr>
        <w:keepNext w:val="0"/>
        <w:keepLines w:val="0"/>
        <w:pageBreakBefore w:val="0"/>
        <w:kinsoku/>
        <w:wordWrap/>
        <w:overflowPunct/>
        <w:topLinePunct w:val="0"/>
        <w:autoSpaceDE/>
        <w:autoSpaceDN/>
        <w:bidi w:val="0"/>
        <w:adjustRightInd/>
        <w:snapToGrid/>
        <w:spacing w:line="240" w:lineRule="auto"/>
        <w:jc w:val="both"/>
        <w:textAlignment w:val="auto"/>
      </w:pPr>
      <w:r>
        <w:rPr>
          <w:rFonts w:hint="eastAsia" w:eastAsia="宋体"/>
          <w:lang w:eastAsia="zh-CN"/>
        </w:rPr>
        <w:drawing>
          <wp:anchor distT="0" distB="0" distL="114300" distR="114300" simplePos="0" relativeHeight="251660288" behindDoc="0" locked="0" layoutInCell="1" allowOverlap="1">
            <wp:simplePos x="0" y="0"/>
            <wp:positionH relativeFrom="column">
              <wp:posOffset>-615315</wp:posOffset>
            </wp:positionH>
            <wp:positionV relativeFrom="paragraph">
              <wp:posOffset>71755</wp:posOffset>
            </wp:positionV>
            <wp:extent cx="6474460" cy="3069590"/>
            <wp:effectExtent l="0" t="0" r="2540" b="16510"/>
            <wp:wrapNone/>
            <wp:docPr id="6" name="图片 3" descr="F09828325E2E16917E04519B492256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F09828325E2E16917E04519B492256CB"/>
                    <pic:cNvPicPr>
                      <a:picLocks noChangeAspect="1"/>
                    </pic:cNvPicPr>
                  </pic:nvPicPr>
                  <pic:blipFill>
                    <a:blip r:embed="rId7"/>
                    <a:stretch>
                      <a:fillRect/>
                    </a:stretch>
                  </pic:blipFill>
                  <pic:spPr>
                    <a:xfrm>
                      <a:off x="0" y="0"/>
                      <a:ext cx="6474460" cy="306959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eastAsia="宋体"/>
          <w:lang w:eastAsia="zh-CN"/>
        </w:rPr>
      </w:pPr>
    </w:p>
    <w:p>
      <w:pPr>
        <w:keepNext w:val="0"/>
        <w:keepLines w:val="0"/>
        <w:pageBreakBefore w:val="0"/>
        <w:kinsoku/>
        <w:wordWrap/>
        <w:overflowPunct/>
        <w:topLinePunct w:val="0"/>
        <w:autoSpaceDE/>
        <w:autoSpaceDN/>
        <w:bidi w:val="0"/>
        <w:adjustRightInd/>
        <w:snapToGrid/>
        <w:spacing w:line="240" w:lineRule="auto"/>
        <w:jc w:val="both"/>
        <w:textAlignment w:val="auto"/>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eastAsia"/>
          <w:lang w:val="en-US" w:eastAsia="zh-CN"/>
        </w:rPr>
      </w:pPr>
      <w:r>
        <w:rPr>
          <w:rFonts w:hint="eastAsia" w:ascii="仿宋_GB2312" w:hAnsi="仿宋_GB2312" w:eastAsia="仿宋_GB2312" w:cs="仿宋_GB2312"/>
          <w:color w:val="000000"/>
          <w:kern w:val="0"/>
          <w:sz w:val="32"/>
          <w:szCs w:val="32"/>
          <w:lang w:val="en-US" w:eastAsia="zh-CN" w:bidi="ar"/>
        </w:rPr>
        <w:t>D</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en-US" w:eastAsia="zh-CN" w:bidi="ar"/>
        </w:rPr>
        <w:t>垃圾分类箱房参考2</w:t>
      </w: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70485</wp:posOffset>
            </wp:positionH>
            <wp:positionV relativeFrom="paragraph">
              <wp:posOffset>170815</wp:posOffset>
            </wp:positionV>
            <wp:extent cx="5266690" cy="2366010"/>
            <wp:effectExtent l="0" t="0" r="10160" b="15240"/>
            <wp:wrapNone/>
            <wp:docPr id="5" name="图片 4" descr="F91634D300D66D5092357ADCD8E0B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91634D300D66D5092357ADCD8E0BBA7"/>
                    <pic:cNvPicPr>
                      <a:picLocks noChangeAspect="1"/>
                    </pic:cNvPicPr>
                  </pic:nvPicPr>
                  <pic:blipFill>
                    <a:blip r:embed="rId8"/>
                    <a:stretch>
                      <a:fillRect/>
                    </a:stretch>
                  </pic:blipFill>
                  <pic:spPr>
                    <a:xfrm>
                      <a:off x="0" y="0"/>
                      <a:ext cx="5266690" cy="2366010"/>
                    </a:xfrm>
                    <a:prstGeom prst="rect">
                      <a:avLst/>
                    </a:prstGeom>
                    <a:noFill/>
                    <a:ln w="9525">
                      <a:noFill/>
                    </a:ln>
                  </pic:spPr>
                </pic:pic>
              </a:graphicData>
            </a:graphic>
          </wp:anchor>
        </w:drawing>
      </w:r>
    </w:p>
    <w:p>
      <w:pPr>
        <w:keepNext w:val="0"/>
        <w:keepLines w:val="0"/>
        <w:widowControl/>
        <w:suppressLineNumbers w:val="0"/>
        <w:jc w:val="left"/>
        <w:rPr>
          <w:rFonts w:hint="eastAsia" w:eastAsia="宋体"/>
          <w:lang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eastAsia"/>
          <w:lang w:val="en-US" w:eastAsia="zh-CN"/>
        </w:rPr>
      </w:pPr>
    </w:p>
    <w:p>
      <w:pPr>
        <w:keepNext w:val="0"/>
        <w:keepLines w:val="0"/>
        <w:pageBreakBefore w:val="0"/>
        <w:kinsoku/>
        <w:wordWrap/>
        <w:overflowPunct/>
        <w:topLinePunct w:val="0"/>
        <w:autoSpaceDE/>
        <w:autoSpaceDN/>
        <w:bidi w:val="0"/>
        <w:spacing w:line="560" w:lineRule="exact"/>
        <w:jc w:val="both"/>
        <w:textAlignment w:val="auto"/>
        <w:rPr>
          <w:rFonts w:hint="default"/>
          <w:lang w:val="en-US" w:eastAsia="zh-CN"/>
        </w:rPr>
      </w:pPr>
    </w:p>
    <w:p>
      <w:pPr>
        <w:keepNext w:val="0"/>
        <w:keepLines w:val="0"/>
        <w:pageBreakBefore w:val="0"/>
        <w:kinsoku/>
        <w:wordWrap/>
        <w:overflowPunct/>
        <w:topLinePunct w:val="0"/>
        <w:autoSpaceDE/>
        <w:autoSpaceDN/>
        <w:bidi w:val="0"/>
        <w:spacing w:line="560" w:lineRule="exact"/>
        <w:ind w:firstLine="662" w:firstLineChars="200"/>
        <w:jc w:val="both"/>
        <w:textAlignment w:val="auto"/>
        <w:rPr>
          <w:rFonts w:hint="default"/>
          <w:lang w:val="en-US" w:eastAsia="zh-CN"/>
        </w:rPr>
      </w:pPr>
      <w:r>
        <w:rPr>
          <w:rFonts w:hint="eastAsia" w:ascii="仿宋_GB2312" w:hAnsi="仿宋_GB2312" w:eastAsia="仿宋_GB2312" w:cs="仿宋_GB2312"/>
          <w:color w:val="000000"/>
          <w:kern w:val="0"/>
          <w:sz w:val="32"/>
          <w:szCs w:val="32"/>
          <w:lang w:val="en-US" w:eastAsia="zh-CN" w:bidi="ar"/>
        </w:rPr>
        <w:t>E</w:t>
      </w:r>
      <w:r>
        <w:rPr>
          <w:rFonts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en-US" w:eastAsia="zh-CN" w:bidi="ar"/>
        </w:rPr>
        <w:t>建筑垃圾、大件垃圾、园林绿化堆放点参考</w:t>
      </w:r>
    </w:p>
    <w:p>
      <w:pPr>
        <w:widowControl/>
        <w:jc w:val="left"/>
        <w:rPr>
          <w:rFonts w:hint="eastAsia" w:ascii="仿宋_GB2312" w:hAnsi="仿宋_GB2312" w:eastAsia="仿宋_GB2312" w:cs="仿宋_GB2312"/>
          <w:caps/>
          <w:kern w:val="0"/>
          <w:sz w:val="32"/>
          <w:szCs w:val="32"/>
          <w:lang w:eastAsia="zh-CN"/>
        </w:rPr>
      </w:pPr>
      <w:r>
        <w:rPr>
          <w:rFonts w:hint="default"/>
          <w:lang w:val="en-US" w:eastAsia="zh-CN"/>
        </w:rPr>
        <w:drawing>
          <wp:anchor distT="0" distB="0" distL="114300" distR="114300" simplePos="0" relativeHeight="251659264" behindDoc="0" locked="0" layoutInCell="1" allowOverlap="1">
            <wp:simplePos x="0" y="0"/>
            <wp:positionH relativeFrom="page">
              <wp:posOffset>1101725</wp:posOffset>
            </wp:positionH>
            <wp:positionV relativeFrom="page">
              <wp:posOffset>4956175</wp:posOffset>
            </wp:positionV>
            <wp:extent cx="5253355" cy="2395855"/>
            <wp:effectExtent l="0" t="0" r="4445" b="4445"/>
            <wp:wrapNone/>
            <wp:docPr id="8" name="图片 5" descr="梅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梅园"/>
                    <pic:cNvPicPr>
                      <a:picLocks noChangeAspect="1"/>
                    </pic:cNvPicPr>
                  </pic:nvPicPr>
                  <pic:blipFill>
                    <a:blip r:embed="rId9"/>
                    <a:srcRect t="19000" b="46796"/>
                    <a:stretch>
                      <a:fillRect/>
                    </a:stretch>
                  </pic:blipFill>
                  <pic:spPr>
                    <a:xfrm>
                      <a:off x="0" y="0"/>
                      <a:ext cx="5253355" cy="2395855"/>
                    </a:xfrm>
                    <a:prstGeom prst="rect">
                      <a:avLst/>
                    </a:prstGeom>
                    <a:noFill/>
                    <a:ln w="9525">
                      <a:noFill/>
                    </a:ln>
                  </pic:spPr>
                </pic:pic>
              </a:graphicData>
            </a:graphic>
          </wp:anchor>
        </w:drawing>
      </w: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p>
    <w:p>
      <w:pPr>
        <w:widowControl/>
        <w:jc w:val="left"/>
        <w:rPr>
          <w:rFonts w:hint="eastAsia" w:ascii="仿宋_GB2312" w:hAnsi="仿宋_GB2312" w:eastAsia="仿宋_GB2312" w:cs="仿宋_GB2312"/>
          <w:caps/>
          <w:kern w:val="0"/>
          <w:sz w:val="32"/>
          <w:szCs w:val="32"/>
          <w:lang w:eastAsia="zh-CN"/>
        </w:rPr>
      </w:pPr>
      <w:bookmarkStart w:id="1" w:name="_GoBack"/>
      <w:bookmarkEnd w:id="1"/>
    </w:p>
    <w:tbl>
      <w:tblPr>
        <w:tblStyle w:val="12"/>
        <w:tblpPr w:leftFromText="180" w:rightFromText="180" w:vertAnchor="text" w:horzAnchor="page" w:tblpX="1678" w:tblpY="952"/>
        <w:tblOverlap w:val="never"/>
        <w:tblW w:w="8844"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6" w:hRule="atLeast"/>
        </w:trPr>
        <w:tc>
          <w:tcPr>
            <w:tcW w:w="8844" w:type="dxa"/>
            <w:tcBorders>
              <w:top w:val="single" w:color="auto" w:sz="12" w:space="0"/>
            </w:tcBorders>
            <w:vAlign w:val="top"/>
          </w:tcPr>
          <w:p>
            <w:pPr>
              <w:ind w:firstLine="0" w:firstLineChars="0"/>
              <w:rPr>
                <w:rFonts w:ascii="仿宋_GB2312" w:eastAsia="仿宋_GB2312"/>
                <w:color w:val="000000"/>
                <w:sz w:val="28"/>
                <w:szCs w:val="28"/>
              </w:rPr>
            </w:pPr>
            <w:r>
              <w:rPr>
                <w:rFonts w:hint="eastAsia" w:ascii="仿宋_GB2312" w:eastAsia="仿宋_GB2312"/>
                <w:color w:val="000000"/>
                <w:spacing w:val="-20"/>
                <w:sz w:val="28"/>
                <w:szCs w:val="28"/>
              </w:rPr>
              <w:t>海宁市城乡垃圾分类工作领导小组办公室</w:t>
            </w:r>
            <w:r>
              <w:rPr>
                <w:rFonts w:ascii="仿宋_GB2312" w:eastAsia="仿宋_GB2312"/>
                <w:color w:val="000000"/>
                <w:sz w:val="28"/>
                <w:szCs w:val="28"/>
              </w:rPr>
              <w:t xml:space="preserve">  </w:t>
            </w:r>
            <w:r>
              <w:rPr>
                <w:rFonts w:hint="eastAsia" w:ascii="仿宋_GB2312" w:eastAsia="仿宋_GB2312"/>
                <w:color w:val="000000"/>
                <w:sz w:val="28"/>
                <w:szCs w:val="28"/>
              </w:rPr>
              <w:t xml:space="preserve"> </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 xml:space="preserve">    </w:t>
            </w:r>
            <w:r>
              <w:rPr>
                <w:rFonts w:ascii="仿宋_GB2312" w:eastAsia="仿宋_GB2312"/>
                <w:color w:val="000000"/>
                <w:sz w:val="28"/>
                <w:szCs w:val="28"/>
              </w:rPr>
              <w:t>20</w:t>
            </w:r>
            <w:r>
              <w:rPr>
                <w:rFonts w:hint="eastAsia" w:ascii="仿宋_GB2312" w:eastAsia="仿宋_GB2312"/>
                <w:color w:val="000000"/>
                <w:sz w:val="28"/>
                <w:szCs w:val="28"/>
              </w:rPr>
              <w:t>19年</w:t>
            </w:r>
            <w:r>
              <w:rPr>
                <w:rFonts w:hint="eastAsia" w:ascii="仿宋_GB2312" w:eastAsia="仿宋_GB2312"/>
                <w:color w:val="000000"/>
                <w:sz w:val="28"/>
                <w:szCs w:val="28"/>
                <w:lang w:val="en-US" w:eastAsia="zh-CN"/>
              </w:rPr>
              <w:t>9</w:t>
            </w:r>
            <w:r>
              <w:rPr>
                <w:rFonts w:hint="eastAsia" w:ascii="仿宋_GB2312" w:eastAsia="仿宋_GB2312"/>
                <w:color w:val="000000"/>
                <w:sz w:val="28"/>
                <w:szCs w:val="28"/>
              </w:rPr>
              <w:t>月</w:t>
            </w:r>
            <w:r>
              <w:rPr>
                <w:rFonts w:hint="eastAsia" w:ascii="仿宋_GB2312" w:eastAsia="仿宋_GB2312"/>
                <w:color w:val="000000"/>
                <w:sz w:val="28"/>
                <w:szCs w:val="28"/>
                <w:lang w:val="en-US" w:eastAsia="zh-CN"/>
              </w:rPr>
              <w:t>29</w:t>
            </w:r>
            <w:r>
              <w:rPr>
                <w:rFonts w:hint="eastAsia" w:ascii="仿宋_GB2312" w:eastAsia="仿宋_GB2312"/>
                <w:color w:val="000000"/>
                <w:sz w:val="28"/>
                <w:szCs w:val="28"/>
              </w:rPr>
              <w:t>日印发</w:t>
            </w:r>
          </w:p>
        </w:tc>
      </w:tr>
    </w:tbl>
    <w:p>
      <w:pPr>
        <w:widowControl/>
        <w:jc w:val="left"/>
        <w:rPr>
          <w:rFonts w:hint="eastAsia" w:ascii="仿宋_GB2312" w:hAnsi="仿宋_GB2312" w:eastAsia="仿宋_GB2312" w:cs="仿宋_GB2312"/>
          <w:caps/>
          <w:kern w:val="0"/>
          <w:sz w:val="32"/>
          <w:szCs w:val="32"/>
          <w:lang w:val="en-US" w:eastAsia="zh-CN"/>
        </w:rPr>
      </w:pPr>
    </w:p>
    <w:sectPr>
      <w:footerReference r:id="rId3" w:type="default"/>
      <w:pgSz w:w="11906" w:h="16838"/>
      <w:pgMar w:top="2098" w:right="1474" w:bottom="1984" w:left="1587" w:header="851" w:footer="1417" w:gutter="0"/>
      <w:pgNumType w:fmt="numberInDash"/>
      <w:cols w:space="0" w:num="1"/>
      <w:rtlGutter w:val="0"/>
      <w:docGrid w:type="linesAndChars" w:linePitch="327" w:charSpace="22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文星简小标宋">
    <w:panose1 w:val="02010609000101010101"/>
    <w:charset w:val="00"/>
    <w:family w:val="auto"/>
    <w:pitch w:val="default"/>
    <w:sig w:usb0="00000000" w:usb1="00000000" w:usb2="00000000" w:usb3="00000000" w:csb0="00000000" w:csb1="00000000"/>
  </w:font>
  <w:font w:name="方正美黑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文星简小标宋">
    <w:panose1 w:val="02010609000101010101"/>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gutterAtTop/>
  <w:documentProtection w:enforcement="0"/>
  <w:defaultTabStop w:val="420"/>
  <w:drawingGridHorizontalSpacing w:val="111"/>
  <w:drawingGridVerticalSpacing w:val="164"/>
  <w:displayHorizontalDrawingGridEvery w:val="2"/>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663"/>
    <w:rsid w:val="00010B51"/>
    <w:rsid w:val="000128C2"/>
    <w:rsid w:val="00026517"/>
    <w:rsid w:val="00033A56"/>
    <w:rsid w:val="00046962"/>
    <w:rsid w:val="000643CE"/>
    <w:rsid w:val="000722CA"/>
    <w:rsid w:val="000757EB"/>
    <w:rsid w:val="00093212"/>
    <w:rsid w:val="000A1E10"/>
    <w:rsid w:val="000B00B8"/>
    <w:rsid w:val="000C6403"/>
    <w:rsid w:val="000D20FE"/>
    <w:rsid w:val="000F3A72"/>
    <w:rsid w:val="00105082"/>
    <w:rsid w:val="00107D9B"/>
    <w:rsid w:val="001124C4"/>
    <w:rsid w:val="0013095F"/>
    <w:rsid w:val="001474E9"/>
    <w:rsid w:val="0015104D"/>
    <w:rsid w:val="00177D9D"/>
    <w:rsid w:val="00183F69"/>
    <w:rsid w:val="00187557"/>
    <w:rsid w:val="001C08B4"/>
    <w:rsid w:val="001C2CF5"/>
    <w:rsid w:val="001C5CAE"/>
    <w:rsid w:val="001D4C48"/>
    <w:rsid w:val="001D5FD9"/>
    <w:rsid w:val="001E0040"/>
    <w:rsid w:val="001E3F13"/>
    <w:rsid w:val="001E7F8D"/>
    <w:rsid w:val="00215536"/>
    <w:rsid w:val="0024218B"/>
    <w:rsid w:val="00245DF9"/>
    <w:rsid w:val="002701F6"/>
    <w:rsid w:val="002735F4"/>
    <w:rsid w:val="00285FFA"/>
    <w:rsid w:val="002A2F65"/>
    <w:rsid w:val="002D414D"/>
    <w:rsid w:val="002E5EE5"/>
    <w:rsid w:val="002F4A92"/>
    <w:rsid w:val="002F6282"/>
    <w:rsid w:val="00304BDF"/>
    <w:rsid w:val="00305891"/>
    <w:rsid w:val="003247E3"/>
    <w:rsid w:val="00333BE6"/>
    <w:rsid w:val="00355CA3"/>
    <w:rsid w:val="00371E1B"/>
    <w:rsid w:val="00377851"/>
    <w:rsid w:val="003B3BB8"/>
    <w:rsid w:val="003D2F77"/>
    <w:rsid w:val="003D5506"/>
    <w:rsid w:val="003E790A"/>
    <w:rsid w:val="003F5035"/>
    <w:rsid w:val="00413663"/>
    <w:rsid w:val="004169F8"/>
    <w:rsid w:val="00441021"/>
    <w:rsid w:val="00442142"/>
    <w:rsid w:val="004478AC"/>
    <w:rsid w:val="00463524"/>
    <w:rsid w:val="004657BF"/>
    <w:rsid w:val="00470294"/>
    <w:rsid w:val="0048693B"/>
    <w:rsid w:val="00496BA9"/>
    <w:rsid w:val="004B7562"/>
    <w:rsid w:val="004C0F19"/>
    <w:rsid w:val="004D33F3"/>
    <w:rsid w:val="004E0DF8"/>
    <w:rsid w:val="004E14C6"/>
    <w:rsid w:val="004E366F"/>
    <w:rsid w:val="00507497"/>
    <w:rsid w:val="005370D8"/>
    <w:rsid w:val="00540258"/>
    <w:rsid w:val="005636A5"/>
    <w:rsid w:val="00565407"/>
    <w:rsid w:val="00571DC5"/>
    <w:rsid w:val="00580C0E"/>
    <w:rsid w:val="00596BF1"/>
    <w:rsid w:val="005B35EF"/>
    <w:rsid w:val="005C6AFE"/>
    <w:rsid w:val="005F76C3"/>
    <w:rsid w:val="0062756F"/>
    <w:rsid w:val="0064018B"/>
    <w:rsid w:val="00672DFC"/>
    <w:rsid w:val="00673D56"/>
    <w:rsid w:val="00676E5E"/>
    <w:rsid w:val="00680D12"/>
    <w:rsid w:val="006834F8"/>
    <w:rsid w:val="006853B4"/>
    <w:rsid w:val="006A18A3"/>
    <w:rsid w:val="006D4B18"/>
    <w:rsid w:val="006E047B"/>
    <w:rsid w:val="006F3759"/>
    <w:rsid w:val="006F6530"/>
    <w:rsid w:val="007673F3"/>
    <w:rsid w:val="007934C4"/>
    <w:rsid w:val="007952ED"/>
    <w:rsid w:val="00795C4C"/>
    <w:rsid w:val="007A4A44"/>
    <w:rsid w:val="007B4408"/>
    <w:rsid w:val="007D0D5D"/>
    <w:rsid w:val="007D50AD"/>
    <w:rsid w:val="007D6851"/>
    <w:rsid w:val="007E5196"/>
    <w:rsid w:val="008121FE"/>
    <w:rsid w:val="00823A55"/>
    <w:rsid w:val="00866D0B"/>
    <w:rsid w:val="00870B5B"/>
    <w:rsid w:val="00882D4F"/>
    <w:rsid w:val="008870AA"/>
    <w:rsid w:val="0089378F"/>
    <w:rsid w:val="008A699E"/>
    <w:rsid w:val="008B2A42"/>
    <w:rsid w:val="008B448E"/>
    <w:rsid w:val="008B4807"/>
    <w:rsid w:val="008C0BCC"/>
    <w:rsid w:val="008C17EF"/>
    <w:rsid w:val="008C53A1"/>
    <w:rsid w:val="008E3495"/>
    <w:rsid w:val="008F36EB"/>
    <w:rsid w:val="00904D5E"/>
    <w:rsid w:val="00921397"/>
    <w:rsid w:val="00944484"/>
    <w:rsid w:val="00974AEF"/>
    <w:rsid w:val="009A61DA"/>
    <w:rsid w:val="009C3BD0"/>
    <w:rsid w:val="009D4247"/>
    <w:rsid w:val="009E5159"/>
    <w:rsid w:val="00A134D2"/>
    <w:rsid w:val="00A651A1"/>
    <w:rsid w:val="00A83161"/>
    <w:rsid w:val="00A850C0"/>
    <w:rsid w:val="00AB3537"/>
    <w:rsid w:val="00AB5FB4"/>
    <w:rsid w:val="00AF702F"/>
    <w:rsid w:val="00B35DBC"/>
    <w:rsid w:val="00B50C57"/>
    <w:rsid w:val="00B5366B"/>
    <w:rsid w:val="00B57339"/>
    <w:rsid w:val="00BA20DC"/>
    <w:rsid w:val="00BD1D77"/>
    <w:rsid w:val="00BD7ADE"/>
    <w:rsid w:val="00BE4085"/>
    <w:rsid w:val="00C312B9"/>
    <w:rsid w:val="00C461C8"/>
    <w:rsid w:val="00C46353"/>
    <w:rsid w:val="00C7007F"/>
    <w:rsid w:val="00C77106"/>
    <w:rsid w:val="00CC58DD"/>
    <w:rsid w:val="00CF1E1E"/>
    <w:rsid w:val="00D00048"/>
    <w:rsid w:val="00D03456"/>
    <w:rsid w:val="00D0796B"/>
    <w:rsid w:val="00D13C19"/>
    <w:rsid w:val="00D213B9"/>
    <w:rsid w:val="00D272F1"/>
    <w:rsid w:val="00D44488"/>
    <w:rsid w:val="00D835DE"/>
    <w:rsid w:val="00DB1312"/>
    <w:rsid w:val="00DB1EA0"/>
    <w:rsid w:val="00DB323D"/>
    <w:rsid w:val="00DC626F"/>
    <w:rsid w:val="00DF3046"/>
    <w:rsid w:val="00E07A9C"/>
    <w:rsid w:val="00E23FA4"/>
    <w:rsid w:val="00E26A96"/>
    <w:rsid w:val="00E26DC3"/>
    <w:rsid w:val="00E33002"/>
    <w:rsid w:val="00E462EE"/>
    <w:rsid w:val="00E6671D"/>
    <w:rsid w:val="00E75F43"/>
    <w:rsid w:val="00E90AA7"/>
    <w:rsid w:val="00E97DF4"/>
    <w:rsid w:val="00EB0FE2"/>
    <w:rsid w:val="00EB2854"/>
    <w:rsid w:val="00EB3D6E"/>
    <w:rsid w:val="00EC7E9C"/>
    <w:rsid w:val="00F117CC"/>
    <w:rsid w:val="00F277FA"/>
    <w:rsid w:val="00F5307B"/>
    <w:rsid w:val="00FB42EF"/>
    <w:rsid w:val="00FC22E4"/>
    <w:rsid w:val="01203A8D"/>
    <w:rsid w:val="024602BA"/>
    <w:rsid w:val="034A357D"/>
    <w:rsid w:val="034E607B"/>
    <w:rsid w:val="041C177F"/>
    <w:rsid w:val="04201112"/>
    <w:rsid w:val="04A215C1"/>
    <w:rsid w:val="05C06100"/>
    <w:rsid w:val="063B00BC"/>
    <w:rsid w:val="07C015DB"/>
    <w:rsid w:val="081616F3"/>
    <w:rsid w:val="08E77A6B"/>
    <w:rsid w:val="08F07C25"/>
    <w:rsid w:val="098F1641"/>
    <w:rsid w:val="0A592479"/>
    <w:rsid w:val="0AD679CD"/>
    <w:rsid w:val="0DF37BF7"/>
    <w:rsid w:val="12081FC8"/>
    <w:rsid w:val="121F41C9"/>
    <w:rsid w:val="12E66A40"/>
    <w:rsid w:val="13A77580"/>
    <w:rsid w:val="14867A96"/>
    <w:rsid w:val="15D56A5F"/>
    <w:rsid w:val="17284E84"/>
    <w:rsid w:val="18803248"/>
    <w:rsid w:val="19822002"/>
    <w:rsid w:val="19C9390C"/>
    <w:rsid w:val="1AC65F2B"/>
    <w:rsid w:val="1B7A040E"/>
    <w:rsid w:val="1D000BDE"/>
    <w:rsid w:val="1E171F90"/>
    <w:rsid w:val="20023009"/>
    <w:rsid w:val="204501ED"/>
    <w:rsid w:val="21DD20A9"/>
    <w:rsid w:val="21F93022"/>
    <w:rsid w:val="22771ECA"/>
    <w:rsid w:val="23CB3BBD"/>
    <w:rsid w:val="249C20B6"/>
    <w:rsid w:val="257550DE"/>
    <w:rsid w:val="257C5720"/>
    <w:rsid w:val="25E42773"/>
    <w:rsid w:val="2605254F"/>
    <w:rsid w:val="28523F86"/>
    <w:rsid w:val="28C87F6E"/>
    <w:rsid w:val="28D21974"/>
    <w:rsid w:val="28EF5E2D"/>
    <w:rsid w:val="29133F5E"/>
    <w:rsid w:val="298A2FD3"/>
    <w:rsid w:val="2A0F5006"/>
    <w:rsid w:val="2A2B66EA"/>
    <w:rsid w:val="2A390FA7"/>
    <w:rsid w:val="2AC067FE"/>
    <w:rsid w:val="2BC430D7"/>
    <w:rsid w:val="2D071AB4"/>
    <w:rsid w:val="2D543539"/>
    <w:rsid w:val="2DB741AF"/>
    <w:rsid w:val="2E84513D"/>
    <w:rsid w:val="2F8044A6"/>
    <w:rsid w:val="2FB1712F"/>
    <w:rsid w:val="32C54B48"/>
    <w:rsid w:val="33B46990"/>
    <w:rsid w:val="33C555CF"/>
    <w:rsid w:val="35E65E16"/>
    <w:rsid w:val="36C17C78"/>
    <w:rsid w:val="36F3085D"/>
    <w:rsid w:val="37D03FD1"/>
    <w:rsid w:val="385D552A"/>
    <w:rsid w:val="3A583ABC"/>
    <w:rsid w:val="3A996D57"/>
    <w:rsid w:val="3AC534DF"/>
    <w:rsid w:val="3B316ED7"/>
    <w:rsid w:val="3C2F6E26"/>
    <w:rsid w:val="3C3F479D"/>
    <w:rsid w:val="3C6C73F1"/>
    <w:rsid w:val="3D5D0246"/>
    <w:rsid w:val="3E5A147D"/>
    <w:rsid w:val="3F6169EE"/>
    <w:rsid w:val="40424F0D"/>
    <w:rsid w:val="40ED0202"/>
    <w:rsid w:val="41965446"/>
    <w:rsid w:val="41B739E5"/>
    <w:rsid w:val="44983D1F"/>
    <w:rsid w:val="45D13B3F"/>
    <w:rsid w:val="45E04AC5"/>
    <w:rsid w:val="46553575"/>
    <w:rsid w:val="466769F8"/>
    <w:rsid w:val="469A5102"/>
    <w:rsid w:val="46A14BC9"/>
    <w:rsid w:val="47780DD2"/>
    <w:rsid w:val="49414DFF"/>
    <w:rsid w:val="49AF4277"/>
    <w:rsid w:val="4A447BD0"/>
    <w:rsid w:val="4CC10D78"/>
    <w:rsid w:val="4CCD0274"/>
    <w:rsid w:val="4D275473"/>
    <w:rsid w:val="4D6A47B7"/>
    <w:rsid w:val="4D883556"/>
    <w:rsid w:val="4DB9066A"/>
    <w:rsid w:val="4E495E1E"/>
    <w:rsid w:val="4E8860E0"/>
    <w:rsid w:val="500F33AE"/>
    <w:rsid w:val="507323D3"/>
    <w:rsid w:val="524D7055"/>
    <w:rsid w:val="53054928"/>
    <w:rsid w:val="53151540"/>
    <w:rsid w:val="5337185A"/>
    <w:rsid w:val="53A321AA"/>
    <w:rsid w:val="55A901D9"/>
    <w:rsid w:val="55B713FF"/>
    <w:rsid w:val="583D417F"/>
    <w:rsid w:val="5901447D"/>
    <w:rsid w:val="59054F22"/>
    <w:rsid w:val="5BEF2685"/>
    <w:rsid w:val="5C903A5B"/>
    <w:rsid w:val="5CCF79F2"/>
    <w:rsid w:val="5CD628FB"/>
    <w:rsid w:val="5D8E05D2"/>
    <w:rsid w:val="5DF177AA"/>
    <w:rsid w:val="5E9F48C8"/>
    <w:rsid w:val="5FFA37ED"/>
    <w:rsid w:val="6003154A"/>
    <w:rsid w:val="60F12FE6"/>
    <w:rsid w:val="613E6D22"/>
    <w:rsid w:val="61C35A14"/>
    <w:rsid w:val="62581484"/>
    <w:rsid w:val="633F5808"/>
    <w:rsid w:val="64AA1CD7"/>
    <w:rsid w:val="65E245AA"/>
    <w:rsid w:val="668F01C7"/>
    <w:rsid w:val="66964DC7"/>
    <w:rsid w:val="66B06455"/>
    <w:rsid w:val="66F70228"/>
    <w:rsid w:val="67C455D3"/>
    <w:rsid w:val="67DD6365"/>
    <w:rsid w:val="68B844A6"/>
    <w:rsid w:val="690F7BA1"/>
    <w:rsid w:val="69A54CA8"/>
    <w:rsid w:val="6A0930C4"/>
    <w:rsid w:val="6A4D52AF"/>
    <w:rsid w:val="6A7D6165"/>
    <w:rsid w:val="6ABD5405"/>
    <w:rsid w:val="6BF76241"/>
    <w:rsid w:val="6C1F63E9"/>
    <w:rsid w:val="6D6C1286"/>
    <w:rsid w:val="6F7661E4"/>
    <w:rsid w:val="6FAB188D"/>
    <w:rsid w:val="708855BE"/>
    <w:rsid w:val="715D77AB"/>
    <w:rsid w:val="738C38C5"/>
    <w:rsid w:val="74373A75"/>
    <w:rsid w:val="744676E0"/>
    <w:rsid w:val="74931E4F"/>
    <w:rsid w:val="74C81C57"/>
    <w:rsid w:val="75910EAB"/>
    <w:rsid w:val="75C95B34"/>
    <w:rsid w:val="76D94586"/>
    <w:rsid w:val="771C3ECC"/>
    <w:rsid w:val="77575A5B"/>
    <w:rsid w:val="77780B5A"/>
    <w:rsid w:val="77994D26"/>
    <w:rsid w:val="782C2B77"/>
    <w:rsid w:val="785F5B6C"/>
    <w:rsid w:val="78855868"/>
    <w:rsid w:val="78F1506A"/>
    <w:rsid w:val="79985385"/>
    <w:rsid w:val="7A7560B1"/>
    <w:rsid w:val="7A974A1E"/>
    <w:rsid w:val="7C5B767B"/>
    <w:rsid w:val="7D7B3757"/>
    <w:rsid w:val="7E7140E0"/>
    <w:rsid w:val="7E9A7AE4"/>
    <w:rsid w:val="7ED24C68"/>
    <w:rsid w:val="7F8D084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99"/>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99"/>
    <w:pPr>
      <w:jc w:val="left"/>
    </w:pPr>
  </w:style>
  <w:style w:type="paragraph" w:styleId="3">
    <w:name w:val="Date"/>
    <w:basedOn w:val="1"/>
    <w:next w:val="1"/>
    <w:link w:val="14"/>
    <w:semiHidden/>
    <w:qFormat/>
    <w:uiPriority w:val="99"/>
    <w:pPr>
      <w:ind w:left="100" w:leftChars="2500"/>
    </w:pPr>
  </w:style>
  <w:style w:type="paragraph" w:styleId="4">
    <w:name w:val="Balloon Text"/>
    <w:basedOn w:val="1"/>
    <w:link w:val="22"/>
    <w:semiHidden/>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rPr>
      <w:sz w:val="24"/>
    </w:rPr>
  </w:style>
  <w:style w:type="character" w:styleId="9">
    <w:name w:val="page number"/>
    <w:basedOn w:val="8"/>
    <w:unhideWhenUsed/>
    <w:qFormat/>
    <w:uiPriority w:val="99"/>
  </w:style>
  <w:style w:type="character" w:styleId="10">
    <w:name w:val="annotation reference"/>
    <w:basedOn w:val="8"/>
    <w:semiHidden/>
    <w:qFormat/>
    <w:uiPriority w:val="99"/>
    <w:rPr>
      <w:rFonts w:cs="Times New Roman"/>
      <w:sz w:val="21"/>
      <w:szCs w:val="21"/>
    </w:r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Comment Text Char"/>
    <w:basedOn w:val="8"/>
    <w:link w:val="2"/>
    <w:qFormat/>
    <w:locked/>
    <w:uiPriority w:val="99"/>
    <w:rPr>
      <w:rFonts w:ascii="Times New Roman" w:hAnsi="Times New Roman" w:eastAsia="宋体" w:cs="Times New Roman"/>
      <w:sz w:val="24"/>
      <w:szCs w:val="24"/>
    </w:rPr>
  </w:style>
  <w:style w:type="character" w:customStyle="1" w:styleId="14">
    <w:name w:val="Date Char"/>
    <w:basedOn w:val="8"/>
    <w:link w:val="3"/>
    <w:semiHidden/>
    <w:qFormat/>
    <w:locked/>
    <w:uiPriority w:val="99"/>
    <w:rPr>
      <w:rFonts w:ascii="Times New Roman" w:hAnsi="Times New Roman" w:eastAsia="宋体" w:cs="Times New Roman"/>
      <w:sz w:val="24"/>
      <w:szCs w:val="24"/>
    </w:rPr>
  </w:style>
  <w:style w:type="character" w:customStyle="1" w:styleId="15">
    <w:name w:val="Footer Char"/>
    <w:basedOn w:val="8"/>
    <w:link w:val="5"/>
    <w:qFormat/>
    <w:locked/>
    <w:uiPriority w:val="99"/>
    <w:rPr>
      <w:rFonts w:cs="Times New Roman"/>
      <w:sz w:val="18"/>
      <w:szCs w:val="18"/>
    </w:rPr>
  </w:style>
  <w:style w:type="character" w:customStyle="1" w:styleId="16">
    <w:name w:val="Header Char"/>
    <w:basedOn w:val="8"/>
    <w:link w:val="6"/>
    <w:qFormat/>
    <w:locked/>
    <w:uiPriority w:val="99"/>
    <w:rPr>
      <w:rFonts w:cs="Times New Roman"/>
      <w:sz w:val="18"/>
      <w:szCs w:val="18"/>
    </w:rPr>
  </w:style>
  <w:style w:type="paragraph" w:customStyle="1" w:styleId="17">
    <w:name w:val="Char Char Char Char Char Char Char Char Char Char"/>
    <w:basedOn w:val="1"/>
    <w:qFormat/>
    <w:uiPriority w:val="99"/>
    <w:rPr>
      <w:rFonts w:ascii="Calibri" w:hAnsi="Calibri"/>
    </w:rPr>
  </w:style>
  <w:style w:type="character" w:customStyle="1" w:styleId="18">
    <w:name w:val="font41"/>
    <w:basedOn w:val="8"/>
    <w:qFormat/>
    <w:uiPriority w:val="99"/>
    <w:rPr>
      <w:rFonts w:ascii="宋体" w:hAnsi="宋体" w:eastAsia="宋体" w:cs="宋体"/>
      <w:b/>
      <w:color w:val="000000"/>
      <w:sz w:val="36"/>
      <w:szCs w:val="36"/>
      <w:u w:val="single"/>
    </w:rPr>
  </w:style>
  <w:style w:type="character" w:customStyle="1" w:styleId="19">
    <w:name w:val="font21"/>
    <w:basedOn w:val="8"/>
    <w:qFormat/>
    <w:uiPriority w:val="99"/>
    <w:rPr>
      <w:rFonts w:ascii="宋体" w:hAnsi="宋体" w:eastAsia="宋体" w:cs="宋体"/>
      <w:b/>
      <w:color w:val="000000"/>
      <w:sz w:val="36"/>
      <w:szCs w:val="36"/>
      <w:u w:val="none"/>
    </w:rPr>
  </w:style>
  <w:style w:type="paragraph" w:customStyle="1" w:styleId="20">
    <w:name w:val="普通(网站)1"/>
    <w:basedOn w:val="1"/>
    <w:qFormat/>
    <w:uiPriority w:val="99"/>
    <w:pPr>
      <w:jc w:val="left"/>
    </w:pPr>
    <w:rPr>
      <w:rFonts w:ascii="Calibri" w:hAnsi="Calibri" w:eastAsia="仿宋_GB2312"/>
      <w:kern w:val="0"/>
      <w:sz w:val="24"/>
    </w:rPr>
  </w:style>
  <w:style w:type="paragraph" w:customStyle="1" w:styleId="21">
    <w:name w:val="Normal (Web)1"/>
    <w:basedOn w:val="1"/>
    <w:qFormat/>
    <w:uiPriority w:val="99"/>
    <w:pPr>
      <w:jc w:val="left"/>
    </w:pPr>
    <w:rPr>
      <w:rFonts w:ascii="Calibri" w:hAnsi="Calibri"/>
      <w:kern w:val="0"/>
      <w:sz w:val="24"/>
    </w:rPr>
  </w:style>
  <w:style w:type="character" w:customStyle="1" w:styleId="22">
    <w:name w:val="Balloon Text Char"/>
    <w:basedOn w:val="8"/>
    <w:link w:val="4"/>
    <w:semiHidden/>
    <w:qFormat/>
    <w:locked/>
    <w:uiPriority w:val="99"/>
    <w:rPr>
      <w:rFonts w:cs="Times New Roman"/>
      <w:sz w:val="2"/>
    </w:rPr>
  </w:style>
  <w:style w:type="paragraph" w:customStyle="1" w:styleId="23">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15</Pages>
  <Words>1241</Words>
  <Characters>7075</Characters>
  <Lines>0</Lines>
  <Paragraphs>0</Paragraphs>
  <TotalTime>0</TotalTime>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2019-03-07T05:56:00Z</dcterms:created>
  <dc:creator>dell01</dc:creator>
  <cp:lastModifiedBy>范瑜</cp:lastModifiedBy>
  <cp:lastPrinted>2019-03-06T02:48:00Z</cp:lastPrinted>
  <dcterms:modified xsi:type="dcterms:W3CDTF">2019-09-29T07:14:27Z</dcterms:modified>
  <dc:title>附件1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