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134" w:rightChars="-64"/>
        <w:jc w:val="both"/>
        <w:textAlignment w:val="auto"/>
        <w:outlineLvl w:val="9"/>
        <w:rPr>
          <w:rFonts w:hint="eastAsia" w:ascii="黑体" w:hAnsi="黑体" w:eastAsia="黑体" w:cs="黑体"/>
          <w:cap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aps/>
          <w:sz w:val="32"/>
          <w:szCs w:val="32"/>
          <w:lang w:val="en-US" w:eastAsia="zh-CN"/>
        </w:rPr>
        <w:t>附件</w:t>
      </w:r>
      <w:bookmarkStart w:id="0" w:name="_GoBack"/>
      <w:bookmarkEnd w:id="0"/>
    </w:p>
    <w:tbl>
      <w:tblPr>
        <w:tblStyle w:val="5"/>
        <w:tblW w:w="142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7130"/>
        <w:gridCol w:w="2871"/>
        <w:gridCol w:w="672"/>
        <w:gridCol w:w="1476"/>
        <w:gridCol w:w="17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424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生态环境保护百日攻坚重大环保项目建设进度表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（生活垃圾应急堆放场项目）截止8.15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序号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项目名称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项目建设时间具体计划安排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建设类型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项目建设进展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备注（上周进度）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许村镇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选址于胜利东湖组，占地5亩（一般农用地），按填埋场标准建设，并考虑再建钢结构房屋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填埋场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因周边群众反应较为激烈，该项目暂停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已于8月7日进场施工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选址于东陈村，占地12亩（建设用地），按填埋场标准建设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填埋场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因渣土出运原因，该项目本周停工，总体进度仍然只有50%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正在施工，已完成总工程量的50%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周王庙镇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选址于之江村1组，占地10亩(一般农用地)，先期建设3亩，采用干湿分类露天堆放形式，6月20日前完成项目建设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露天堆放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建安工程已完成，继续完善管理用房、制度牌等附属设施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建安工程已完成，继续完善监控、制度牌等附属设施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盐官镇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选址于群益村联红组，占地10亩（部分建设用地部分一般农用地），按填埋场标准建设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填埋场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无进展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完成施工设计，施工前期准备中，无法确定开工时间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丁桥镇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选址于海潮村青春路西，占地10亩（一般农用地），按填埋场标准建设，一期建设6亩，库容0.6万余吨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填埋场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正在施工，已完成总工程量的65%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正在施工，已完成总工程量的60%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斜桥镇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选址于永合村原麦芽废旧厂房，占地3亩，采用干湿分类打包堆放形式。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室内堆放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已建成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建安工程已完成，正在完善监控、制度牌等附属设施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袁花镇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选址于阳光科技小镇北侧，占地10亩，先期建设4亩（建设用地），采用露天堆放形式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露天堆放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正在施工，已完成总工程量的90%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正在施工，已完成总工程量的85%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尖山新区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选址于江南总部厂店城C区靠东北侧3幢房子，1000平米每幢，先期建设1幢，采用室内堆放形式，预计6月10日前投用。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室内堆放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————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已建成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马桥街道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选址于民胜村08省道西侧，占地4.5亩（建设用地），按填埋场标准建设，设计库容0.4万吨。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填埋场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建安工程已完成，着手完善监控、标识等附属设施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正在施工，已完成总工程量的90%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市级（海昌街道）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选址于海昌街道光耀村，占地10亩（一般农用地），按填埋场标准建设，项目于5月11日进场施工，计划5月20完成坝体修筑，6月7日完成库区施工，6月10日建成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填埋场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————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已建成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攻坚内容：5月10日前完成生活垃圾应急堆放场选址，6月10日前建成并启用。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516A3"/>
    <w:rsid w:val="168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71"/>
    <w:basedOn w:val="4"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2020-06-13T01:58:00Z</dcterms:created>
  <dc:creator>钱霞芳</dc:creator>
  <cp:lastModifiedBy>钱霞芳</cp:lastModifiedBy>
  <dcterms:modified xsi:type="dcterms:W3CDTF">2020-06-13T02:00:53Z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